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7FA13" w14:textId="77777777" w:rsidR="00422A6F" w:rsidRDefault="00422A6F" w:rsidP="00422A6F">
      <w:pPr>
        <w:jc w:val="center"/>
        <w:rPr>
          <w:sz w:val="32"/>
          <w:szCs w:val="32"/>
        </w:rPr>
      </w:pPr>
    </w:p>
    <w:p w14:paraId="7FA16E8F" w14:textId="77777777" w:rsidR="00422A6F" w:rsidRDefault="00422A6F" w:rsidP="00422A6F">
      <w:pPr>
        <w:jc w:val="center"/>
        <w:rPr>
          <w:sz w:val="32"/>
          <w:szCs w:val="32"/>
        </w:rPr>
      </w:pPr>
    </w:p>
    <w:p w14:paraId="08FD9C6C" w14:textId="1339A9DC" w:rsidR="00422A6F" w:rsidRDefault="00422A6F" w:rsidP="00422A6F">
      <w:r w:rsidRPr="00AC3D29">
        <w:rPr>
          <w:sz w:val="32"/>
          <w:szCs w:val="32"/>
        </w:rPr>
        <w:t xml:space="preserve">7.1.1. Implementation of the 3rd Energy Package for gas, and of the electricity integration package  </w:t>
      </w:r>
    </w:p>
    <w:tbl>
      <w:tblPr>
        <w:tblStyle w:val="GridTable1Light"/>
        <w:tblW w:w="8926" w:type="dxa"/>
        <w:tblLook w:val="0400" w:firstRow="0" w:lastRow="0" w:firstColumn="0" w:lastColumn="0" w:noHBand="0" w:noVBand="1"/>
      </w:tblPr>
      <w:tblGrid>
        <w:gridCol w:w="2122"/>
        <w:gridCol w:w="6804"/>
      </w:tblGrid>
      <w:tr w:rsidR="00422A6F" w:rsidRPr="002C702E" w14:paraId="528C6E7D" w14:textId="77777777" w:rsidTr="009C6824">
        <w:trPr>
          <w:trHeight w:val="399"/>
        </w:trPr>
        <w:tc>
          <w:tcPr>
            <w:tcW w:w="2122" w:type="dxa"/>
            <w:shd w:val="clear" w:color="auto" w:fill="0E2841" w:themeFill="text2"/>
          </w:tcPr>
          <w:p w14:paraId="0466875F" w14:textId="77777777" w:rsidR="00422A6F" w:rsidRPr="002C702E" w:rsidRDefault="00422A6F"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6C63FA76" w14:textId="77777777" w:rsidR="00422A6F" w:rsidRPr="008A26A0" w:rsidRDefault="00422A6F" w:rsidP="009C6824">
            <w:pPr>
              <w:spacing w:before="120" w:after="120"/>
              <w:rPr>
                <w:rFonts w:ascii="Aptos" w:eastAsia="Times New Roman" w:hAnsi="Aptos" w:cs="Times New Roman"/>
                <w:color w:val="000000"/>
                <w:kern w:val="0"/>
                <w:sz w:val="20"/>
                <w:szCs w:val="20"/>
                <w:lang w:val="en-GB" w:eastAsia="en-GB"/>
                <w14:ligatures w14:val="none"/>
              </w:rPr>
            </w:pPr>
            <w:r w:rsidRPr="008A26A0">
              <w:rPr>
                <w:rFonts w:ascii="Aptos" w:eastAsia="Times New Roman" w:hAnsi="Aptos" w:cs="Times New Roman"/>
                <w:color w:val="000000"/>
                <w:kern w:val="0"/>
                <w:sz w:val="20"/>
                <w:szCs w:val="20"/>
                <w:lang w:val="en-GB" w:eastAsia="en-GB"/>
                <w14:ligatures w14:val="none"/>
              </w:rPr>
              <w:t xml:space="preserve">7.1. </w:t>
            </w:r>
            <w:r w:rsidRPr="008A26A0">
              <w:rPr>
                <w:sz w:val="20"/>
                <w:szCs w:val="20"/>
              </w:rPr>
              <w:t>Energy sector transformation</w:t>
            </w:r>
          </w:p>
        </w:tc>
      </w:tr>
      <w:tr w:rsidR="00422A6F" w:rsidRPr="002C702E" w14:paraId="2DF0888F" w14:textId="77777777" w:rsidTr="009C6824">
        <w:trPr>
          <w:trHeight w:val="393"/>
        </w:trPr>
        <w:tc>
          <w:tcPr>
            <w:tcW w:w="2122" w:type="dxa"/>
            <w:shd w:val="clear" w:color="auto" w:fill="0E2841" w:themeFill="text2"/>
          </w:tcPr>
          <w:p w14:paraId="7077815B" w14:textId="77777777" w:rsidR="00422A6F" w:rsidRPr="002C702E" w:rsidRDefault="00422A6F"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3AA78FE" w14:textId="77777777" w:rsidR="00422A6F" w:rsidRPr="008A26A0" w:rsidRDefault="00422A6F" w:rsidP="009C6824">
            <w:pPr>
              <w:spacing w:before="120" w:after="120"/>
              <w:rPr>
                <w:rFonts w:ascii="Aptos" w:eastAsia="Times New Roman" w:hAnsi="Aptos" w:cs="Times New Roman"/>
                <w:color w:val="000000"/>
                <w:kern w:val="0"/>
                <w:sz w:val="20"/>
                <w:szCs w:val="20"/>
                <w:lang w:val="en-GB" w:eastAsia="en-GB"/>
                <w14:ligatures w14:val="none"/>
              </w:rPr>
            </w:pPr>
            <w:r>
              <w:rPr>
                <w:sz w:val="20"/>
                <w:szCs w:val="20"/>
              </w:rPr>
              <w:t xml:space="preserve">7.1.1. </w:t>
            </w:r>
            <w:r w:rsidRPr="0056029A">
              <w:rPr>
                <w:sz w:val="20"/>
                <w:szCs w:val="20"/>
              </w:rPr>
              <w:t xml:space="preserve">Implementation of the 3rd Energy Package for gas, and of the electricity integration package  </w:t>
            </w:r>
          </w:p>
        </w:tc>
      </w:tr>
      <w:tr w:rsidR="00422A6F" w:rsidRPr="002C702E" w14:paraId="57105FAE" w14:textId="77777777" w:rsidTr="009C6824">
        <w:trPr>
          <w:trHeight w:val="393"/>
        </w:trPr>
        <w:tc>
          <w:tcPr>
            <w:tcW w:w="2122" w:type="dxa"/>
            <w:shd w:val="clear" w:color="auto" w:fill="0E2841" w:themeFill="text2"/>
          </w:tcPr>
          <w:p w14:paraId="7FB39915" w14:textId="77777777" w:rsidR="00422A6F" w:rsidRPr="002C702E" w:rsidRDefault="00422A6F"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2804B13E" w14:textId="77777777" w:rsidR="00422A6F" w:rsidRPr="008A26A0" w:rsidRDefault="00422A6F" w:rsidP="009C6824">
            <w:pPr>
              <w:spacing w:before="120" w:after="120"/>
              <w:rPr>
                <w:rFonts w:ascii="Aptos" w:eastAsia="Times New Roman" w:hAnsi="Aptos" w:cs="Times New Roman"/>
                <w:color w:val="000000"/>
                <w:kern w:val="0"/>
                <w:sz w:val="20"/>
                <w:szCs w:val="20"/>
                <w:lang w:val="en-GB" w:eastAsia="en-GB"/>
                <w14:ligatures w14:val="none"/>
              </w:rPr>
            </w:pPr>
            <w:r w:rsidRPr="00EF1E86">
              <w:rPr>
                <w:rFonts w:ascii="Aptos" w:eastAsia="Times New Roman" w:hAnsi="Aptos" w:cs="Times New Roman"/>
                <w:color w:val="000000"/>
                <w:kern w:val="0"/>
                <w:sz w:val="20"/>
                <w:szCs w:val="20"/>
                <w:lang w:val="en-GB" w:eastAsia="en-GB"/>
                <w14:ligatures w14:val="none"/>
              </w:rPr>
              <w:t>Status of legal and regulatory framework</w:t>
            </w:r>
          </w:p>
        </w:tc>
      </w:tr>
      <w:tr w:rsidR="00422A6F" w:rsidRPr="002C702E" w14:paraId="235D2A91" w14:textId="77777777" w:rsidTr="009C6824">
        <w:trPr>
          <w:trHeight w:val="349"/>
        </w:trPr>
        <w:tc>
          <w:tcPr>
            <w:tcW w:w="2122" w:type="dxa"/>
            <w:shd w:val="clear" w:color="auto" w:fill="0E2841" w:themeFill="text2"/>
          </w:tcPr>
          <w:p w14:paraId="2A336CFB" w14:textId="77777777" w:rsidR="00422A6F" w:rsidRPr="002C702E" w:rsidRDefault="00422A6F"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1E899B3" w14:textId="77777777" w:rsidR="00422A6F" w:rsidRPr="00B76C09" w:rsidRDefault="00422A6F" w:rsidP="00422A6F">
            <w:pPr>
              <w:pStyle w:val="ListParagraph"/>
              <w:numPr>
                <w:ilvl w:val="0"/>
                <w:numId w:val="7"/>
              </w:numPr>
              <w:spacing w:before="120" w:after="120"/>
              <w:rPr>
                <w:rFonts w:ascii="Aptos" w:eastAsia="Times New Roman" w:hAnsi="Aptos" w:cs="Times New Roman"/>
                <w:color w:val="000000"/>
                <w:kern w:val="0"/>
                <w:sz w:val="20"/>
                <w:szCs w:val="20"/>
                <w:lang w:val="en-GB" w:eastAsia="en-GB"/>
                <w14:ligatures w14:val="none"/>
              </w:rPr>
            </w:pPr>
            <w:r w:rsidRPr="00B76C09">
              <w:rPr>
                <w:rFonts w:ascii="Aptos" w:eastAsia="Times New Roman" w:hAnsi="Aptos" w:cs="Times New Roman"/>
                <w:color w:val="000000"/>
                <w:kern w:val="0"/>
                <w:sz w:val="20"/>
                <w:szCs w:val="20"/>
                <w:lang w:val="en-GB" w:eastAsia="en-GB"/>
                <w14:ligatures w14:val="none"/>
              </w:rPr>
              <w:t>Third-party access to gas infrastructure is in place</w:t>
            </w:r>
          </w:p>
        </w:tc>
      </w:tr>
      <w:tr w:rsidR="00422A6F" w:rsidRPr="002C702E" w14:paraId="12B985E1" w14:textId="77777777" w:rsidTr="009C6824">
        <w:trPr>
          <w:trHeight w:val="559"/>
        </w:trPr>
        <w:tc>
          <w:tcPr>
            <w:tcW w:w="2122" w:type="dxa"/>
            <w:shd w:val="clear" w:color="auto" w:fill="0E2841" w:themeFill="text2"/>
          </w:tcPr>
          <w:p w14:paraId="4836BB8A" w14:textId="77777777" w:rsidR="00422A6F" w:rsidRPr="002C702E" w:rsidRDefault="00422A6F"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76C5862E" w14:textId="77777777" w:rsidR="00422A6F" w:rsidRPr="002C702E" w:rsidRDefault="00422A6F" w:rsidP="009C6824">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June</w:t>
            </w:r>
            <w:r w:rsidRPr="002C702E">
              <w:rPr>
                <w:rFonts w:ascii="Aptos" w:eastAsia="Times New Roman" w:hAnsi="Aptos" w:cs="Times New Roman"/>
                <w:color w:val="000000"/>
                <w:kern w:val="0"/>
                <w:sz w:val="20"/>
                <w:szCs w:val="20"/>
                <w:lang w:val="en-GB" w:eastAsia="en-GB"/>
                <w14:ligatures w14:val="none"/>
              </w:rPr>
              <w:t xml:space="preserve"> 2025</w:t>
            </w:r>
          </w:p>
        </w:tc>
      </w:tr>
      <w:tr w:rsidR="00422A6F" w:rsidRPr="002C702E" w14:paraId="6DD9D0C7" w14:textId="77777777" w:rsidTr="009C6824">
        <w:trPr>
          <w:trHeight w:val="553"/>
        </w:trPr>
        <w:tc>
          <w:tcPr>
            <w:tcW w:w="2122" w:type="dxa"/>
            <w:shd w:val="clear" w:color="auto" w:fill="0E2841" w:themeFill="text2"/>
          </w:tcPr>
          <w:p w14:paraId="7251C341" w14:textId="77777777" w:rsidR="00422A6F" w:rsidRPr="002C702E" w:rsidRDefault="00422A6F"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45BC8F7F" w14:textId="77777777" w:rsidR="00422A6F" w:rsidRPr="008A26A0" w:rsidRDefault="00422A6F" w:rsidP="009C6824">
            <w:pPr>
              <w:spacing w:before="120" w:after="120"/>
              <w:rPr>
                <w:rFonts w:ascii="Aptos" w:eastAsia="Times New Roman" w:hAnsi="Aptos" w:cs="Times New Roman"/>
                <w:color w:val="000000"/>
                <w:kern w:val="0"/>
                <w:sz w:val="20"/>
                <w:szCs w:val="20"/>
                <w:lang w:val="en-GB" w:eastAsia="en-GB"/>
                <w14:ligatures w14:val="none"/>
              </w:rPr>
            </w:pPr>
            <w:r w:rsidRPr="00187B21">
              <w:rPr>
                <w:sz w:val="20"/>
                <w:szCs w:val="20"/>
              </w:rPr>
              <w:t>20,381,435.</w:t>
            </w:r>
          </w:p>
        </w:tc>
      </w:tr>
      <w:tr w:rsidR="00422A6F" w:rsidRPr="002C702E" w14:paraId="332E2921" w14:textId="77777777" w:rsidTr="009C6824">
        <w:trPr>
          <w:trHeight w:val="535"/>
        </w:trPr>
        <w:tc>
          <w:tcPr>
            <w:tcW w:w="2122" w:type="dxa"/>
            <w:shd w:val="clear" w:color="auto" w:fill="0E2841" w:themeFill="text2"/>
          </w:tcPr>
          <w:p w14:paraId="582B53BC" w14:textId="77777777" w:rsidR="00422A6F" w:rsidRPr="002C702E" w:rsidRDefault="00422A6F"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11382D4A" w14:textId="77777777" w:rsidR="00422A6F" w:rsidRPr="002C702E" w:rsidRDefault="00422A6F" w:rsidP="009C6824">
            <w:pPr>
              <w:spacing w:before="120" w:after="120"/>
              <w:rPr>
                <w:rFonts w:ascii="Aptos" w:eastAsia="Times New Roman" w:hAnsi="Aptos" w:cs="Times New Roman"/>
                <w:color w:val="000000"/>
                <w:kern w:val="0"/>
                <w:sz w:val="20"/>
                <w:szCs w:val="20"/>
                <w:lang w:val="en-GB" w:eastAsia="en-GB"/>
                <w14:ligatures w14:val="none"/>
              </w:rPr>
            </w:pPr>
            <w:r w:rsidRPr="001904C5">
              <w:rPr>
                <w:rFonts w:ascii="Aptos" w:eastAsia="Times New Roman" w:hAnsi="Aptos" w:cs="Times New Roman"/>
                <w:color w:val="000000"/>
                <w:kern w:val="0"/>
                <w:sz w:val="20"/>
                <w:szCs w:val="20"/>
                <w:lang w:val="en-GB" w:eastAsia="en-GB"/>
                <w14:ligatures w14:val="none"/>
              </w:rPr>
              <w:t xml:space="preserve">Ministry of Mining and Energy and Energy Agency of the Republic of Serbia (AERS) </w:t>
            </w:r>
          </w:p>
        </w:tc>
      </w:tr>
      <w:tr w:rsidR="00422A6F" w:rsidRPr="002C702E" w14:paraId="547BEC02" w14:textId="77777777" w:rsidTr="009C6824">
        <w:trPr>
          <w:trHeight w:val="583"/>
        </w:trPr>
        <w:tc>
          <w:tcPr>
            <w:tcW w:w="2122" w:type="dxa"/>
            <w:shd w:val="clear" w:color="auto" w:fill="0E2841" w:themeFill="text2"/>
          </w:tcPr>
          <w:p w14:paraId="0CECA824" w14:textId="77777777" w:rsidR="00422A6F" w:rsidRPr="002C702E" w:rsidRDefault="00422A6F"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6DFB15B0" w14:textId="77777777" w:rsidR="00422A6F" w:rsidRPr="002C702E" w:rsidRDefault="00422A6F" w:rsidP="009C6824">
            <w:pPr>
              <w:spacing w:before="120" w:after="120"/>
              <w:jc w:val="both"/>
              <w:rPr>
                <w:rFonts w:ascii="Aptos" w:eastAsia="Times New Roman" w:hAnsi="Aptos" w:cs="Times New Roman"/>
                <w:color w:val="000000"/>
                <w:kern w:val="0"/>
                <w:sz w:val="20"/>
                <w:szCs w:val="20"/>
                <w:lang w:val="en-GB" w:eastAsia="en-GB"/>
                <w14:ligatures w14:val="none"/>
              </w:rPr>
            </w:pPr>
            <w:r w:rsidRPr="001904C5">
              <w:rPr>
                <w:rFonts w:ascii="Aptos" w:eastAsia="Times New Roman" w:hAnsi="Aptos" w:cs="Times New Roman"/>
                <w:color w:val="000000"/>
                <w:kern w:val="0"/>
                <w:sz w:val="20"/>
                <w:szCs w:val="20"/>
                <w:lang w:val="en-GB" w:eastAsia="en-GB"/>
                <w14:ligatures w14:val="none"/>
              </w:rPr>
              <w:t>Energy Law provides legal basis and Rules on the Operation of the Transport System submitted to the Energy Agency of the Republic of Serbia by "</w:t>
            </w:r>
            <w:proofErr w:type="spellStart"/>
            <w:r w:rsidRPr="001904C5">
              <w:rPr>
                <w:rFonts w:ascii="Aptos" w:eastAsia="Times New Roman" w:hAnsi="Aptos" w:cs="Times New Roman"/>
                <w:color w:val="000000"/>
                <w:kern w:val="0"/>
                <w:sz w:val="20"/>
                <w:szCs w:val="20"/>
                <w:lang w:val="en-GB" w:eastAsia="en-GB"/>
                <w14:ligatures w14:val="none"/>
              </w:rPr>
              <w:t>Transportgas</w:t>
            </w:r>
            <w:proofErr w:type="spellEnd"/>
            <w:r w:rsidRPr="001904C5">
              <w:rPr>
                <w:rFonts w:ascii="Aptos" w:eastAsia="Times New Roman" w:hAnsi="Aptos" w:cs="Times New Roman"/>
                <w:color w:val="000000"/>
                <w:kern w:val="0"/>
                <w:sz w:val="20"/>
                <w:szCs w:val="20"/>
                <w:lang w:val="en-GB" w:eastAsia="en-GB"/>
                <w14:ligatures w14:val="none"/>
              </w:rPr>
              <w:t xml:space="preserve"> </w:t>
            </w:r>
            <w:proofErr w:type="spellStart"/>
            <w:r w:rsidRPr="001904C5">
              <w:rPr>
                <w:rFonts w:ascii="Aptos" w:eastAsia="Times New Roman" w:hAnsi="Aptos" w:cs="Times New Roman"/>
                <w:color w:val="000000"/>
                <w:kern w:val="0"/>
                <w:sz w:val="20"/>
                <w:szCs w:val="20"/>
                <w:lang w:val="en-GB" w:eastAsia="en-GB"/>
                <w14:ligatures w14:val="none"/>
              </w:rPr>
              <w:t>Srbija</w:t>
            </w:r>
            <w:proofErr w:type="spellEnd"/>
            <w:r w:rsidRPr="001904C5">
              <w:rPr>
                <w:rFonts w:ascii="Aptos" w:eastAsia="Times New Roman" w:hAnsi="Aptos" w:cs="Times New Roman"/>
                <w:color w:val="000000"/>
                <w:kern w:val="0"/>
                <w:sz w:val="20"/>
                <w:szCs w:val="20"/>
                <w:lang w:val="en-GB" w:eastAsia="en-GB"/>
                <w14:ligatures w14:val="none"/>
              </w:rPr>
              <w:t>" for approval</w:t>
            </w:r>
            <w:r>
              <w:rPr>
                <w:rFonts w:ascii="Aptos" w:eastAsia="Times New Roman" w:hAnsi="Aptos" w:cs="Times New Roman"/>
                <w:color w:val="000000"/>
                <w:kern w:val="0"/>
                <w:sz w:val="20"/>
                <w:szCs w:val="20"/>
                <w:lang w:val="en-GB" w:eastAsia="en-GB"/>
                <w14:ligatures w14:val="none"/>
              </w:rPr>
              <w:t>.</w:t>
            </w:r>
          </w:p>
        </w:tc>
      </w:tr>
      <w:tr w:rsidR="00422A6F" w:rsidRPr="002C702E" w14:paraId="4A5F7203" w14:textId="77777777" w:rsidTr="009C6824">
        <w:trPr>
          <w:trHeight w:val="577"/>
        </w:trPr>
        <w:tc>
          <w:tcPr>
            <w:tcW w:w="2122" w:type="dxa"/>
            <w:shd w:val="clear" w:color="auto" w:fill="0E2841" w:themeFill="text2"/>
          </w:tcPr>
          <w:p w14:paraId="3119F84C" w14:textId="77777777" w:rsidR="00422A6F" w:rsidRPr="002C702E" w:rsidRDefault="00422A6F" w:rsidP="009C6824">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4C5740D8" w14:textId="77777777" w:rsidR="00422A6F" w:rsidRPr="002C702E" w:rsidRDefault="00422A6F" w:rsidP="009C6824">
            <w:pPr>
              <w:spacing w:before="120" w:after="120"/>
              <w:rPr>
                <w:rFonts w:ascii="Aptos" w:eastAsia="Times New Roman" w:hAnsi="Aptos" w:cs="Times New Roman"/>
                <w:color w:val="000000"/>
                <w:kern w:val="0"/>
                <w:sz w:val="20"/>
                <w:szCs w:val="20"/>
                <w:lang w:val="en-GB" w:eastAsia="en-GB"/>
                <w14:ligatures w14:val="none"/>
              </w:rPr>
            </w:pPr>
            <w:r>
              <w:rPr>
                <w:sz w:val="20"/>
                <w:szCs w:val="21"/>
              </w:rPr>
              <w:t>Report of TSO</w:t>
            </w:r>
          </w:p>
        </w:tc>
      </w:tr>
    </w:tbl>
    <w:p w14:paraId="4AA5CB3C" w14:textId="77777777" w:rsidR="00422A6F" w:rsidRPr="002C702E" w:rsidRDefault="00422A6F" w:rsidP="00422A6F">
      <w:pPr>
        <w:rPr>
          <w:lang w:val="en-GB"/>
        </w:rPr>
      </w:pPr>
    </w:p>
    <w:p w14:paraId="55729716" w14:textId="77777777" w:rsidR="00422A6F" w:rsidRPr="002C702E" w:rsidRDefault="00422A6F" w:rsidP="00422A6F">
      <w:pPr>
        <w:pStyle w:val="Heading1"/>
        <w:numPr>
          <w:ilvl w:val="0"/>
          <w:numId w:val="4"/>
        </w:numPr>
        <w:rPr>
          <w:lang w:val="en-GB"/>
        </w:rPr>
      </w:pPr>
      <w:r w:rsidRPr="002C702E">
        <w:rPr>
          <w:lang w:val="en-GB"/>
        </w:rPr>
        <w:t>Analysis</w:t>
      </w:r>
    </w:p>
    <w:p w14:paraId="281AFC1D" w14:textId="77777777" w:rsidR="00422A6F" w:rsidRPr="002C702E" w:rsidRDefault="00422A6F" w:rsidP="00422A6F">
      <w:pPr>
        <w:rPr>
          <w:lang w:val="en-GB"/>
        </w:rPr>
      </w:pPr>
    </w:p>
    <w:tbl>
      <w:tblPr>
        <w:tblStyle w:val="GridTable1Light"/>
        <w:tblW w:w="0" w:type="auto"/>
        <w:tblLook w:val="0480" w:firstRow="0" w:lastRow="0" w:firstColumn="1" w:lastColumn="0" w:noHBand="0" w:noVBand="1"/>
      </w:tblPr>
      <w:tblGrid>
        <w:gridCol w:w="2263"/>
        <w:gridCol w:w="6753"/>
      </w:tblGrid>
      <w:tr w:rsidR="00422A6F" w:rsidRPr="002C702E" w14:paraId="0E9BE2BB"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E46A533" w14:textId="77777777" w:rsidR="00422A6F" w:rsidRPr="002C702E" w:rsidRDefault="00422A6F"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673C6600" w14:textId="77777777" w:rsidR="00422A6F" w:rsidRPr="00B256E0" w:rsidRDefault="00422A6F" w:rsidP="00422A6F">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0"/>
              </w:rPr>
            </w:pPr>
            <w:r w:rsidRPr="00B256E0">
              <w:rPr>
                <w:sz w:val="20"/>
                <w:szCs w:val="20"/>
              </w:rPr>
              <w:t>Legal obligation for third</w:t>
            </w:r>
            <w:r w:rsidRPr="00B256E0">
              <w:rPr>
                <w:rFonts w:ascii="Cambria Math" w:hAnsi="Cambria Math" w:cs="Cambria Math"/>
                <w:sz w:val="20"/>
                <w:szCs w:val="20"/>
              </w:rPr>
              <w:t>‑</w:t>
            </w:r>
            <w:r w:rsidRPr="00B256E0">
              <w:rPr>
                <w:sz w:val="20"/>
                <w:szCs w:val="20"/>
              </w:rPr>
              <w:t>party access exists (ISO duty to approve and charge TPA under Energy Law; refusal conditions bounded by law).</w:t>
            </w:r>
          </w:p>
          <w:p w14:paraId="1321EAFD" w14:textId="77777777" w:rsidR="00422A6F" w:rsidRPr="00B256E0" w:rsidRDefault="00422A6F" w:rsidP="00422A6F">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0"/>
              </w:rPr>
            </w:pPr>
            <w:r w:rsidRPr="00B256E0">
              <w:rPr>
                <w:sz w:val="20"/>
                <w:szCs w:val="20"/>
              </w:rPr>
              <w:t>Operational rules enabling TPA are adopted and regulator-approved (</w:t>
            </w:r>
            <w:proofErr w:type="spellStart"/>
            <w:r w:rsidRPr="00B256E0">
              <w:rPr>
                <w:sz w:val="20"/>
                <w:szCs w:val="20"/>
              </w:rPr>
              <w:t>Transportgas</w:t>
            </w:r>
            <w:proofErr w:type="spellEnd"/>
            <w:r w:rsidRPr="00B256E0">
              <w:rPr>
                <w:sz w:val="20"/>
                <w:szCs w:val="20"/>
              </w:rPr>
              <w:t xml:space="preserve"> “Rules on Operation” and subsequent amendments).</w:t>
            </w:r>
          </w:p>
          <w:p w14:paraId="1740AF59" w14:textId="77777777" w:rsidR="00422A6F" w:rsidRPr="00B256E0" w:rsidRDefault="00422A6F" w:rsidP="00422A6F">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0"/>
              </w:rPr>
            </w:pPr>
            <w:r w:rsidRPr="00B256E0">
              <w:rPr>
                <w:sz w:val="20"/>
                <w:szCs w:val="20"/>
              </w:rPr>
              <w:t>Transmission Network Code is approved with consultation, covering access and allocation procedures.</w:t>
            </w:r>
          </w:p>
          <w:p w14:paraId="2793AF18" w14:textId="77777777" w:rsidR="00422A6F" w:rsidRPr="00B256E0" w:rsidRDefault="00422A6F" w:rsidP="00422A6F">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0"/>
              </w:rPr>
            </w:pPr>
            <w:r w:rsidRPr="00B256E0">
              <w:rPr>
                <w:sz w:val="20"/>
                <w:szCs w:val="20"/>
              </w:rPr>
              <w:t xml:space="preserve">Capacity booking/allocation mechanisms are </w:t>
            </w:r>
            <w:proofErr w:type="gramStart"/>
            <w:r w:rsidRPr="00B256E0">
              <w:rPr>
                <w:sz w:val="20"/>
                <w:szCs w:val="20"/>
              </w:rPr>
              <w:t>operationalized</w:t>
            </w:r>
            <w:proofErr w:type="gramEnd"/>
            <w:r w:rsidRPr="00B256E0">
              <w:rPr>
                <w:sz w:val="20"/>
                <w:szCs w:val="20"/>
              </w:rPr>
              <w:t xml:space="preserve"> and public calls are issued (at least for annual capacity cycles).</w:t>
            </w:r>
          </w:p>
          <w:p w14:paraId="67B0E350" w14:textId="77777777" w:rsidR="00422A6F" w:rsidRPr="00B256E0" w:rsidRDefault="00422A6F" w:rsidP="00422A6F">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0"/>
              </w:rPr>
            </w:pPr>
            <w:r w:rsidRPr="00B256E0">
              <w:rPr>
                <w:sz w:val="20"/>
                <w:szCs w:val="20"/>
              </w:rPr>
              <w:t>Evidence that TPA is effective, transparent, and non</w:t>
            </w:r>
            <w:r w:rsidRPr="00B256E0">
              <w:rPr>
                <w:rFonts w:ascii="Cambria Math" w:hAnsi="Cambria Math" w:cs="Cambria Math"/>
                <w:sz w:val="20"/>
                <w:szCs w:val="20"/>
              </w:rPr>
              <w:t>‑</w:t>
            </w:r>
            <w:r w:rsidRPr="00B256E0">
              <w:rPr>
                <w:sz w:val="20"/>
                <w:szCs w:val="20"/>
              </w:rPr>
              <w:t xml:space="preserve">discriminatory at interconnection points (the real </w:t>
            </w:r>
            <w:r w:rsidRPr="00B256E0">
              <w:rPr>
                <w:rFonts w:ascii="Aptos" w:hAnsi="Aptos" w:cs="Aptos"/>
                <w:sz w:val="20"/>
                <w:szCs w:val="20"/>
              </w:rPr>
              <w:t>“</w:t>
            </w:r>
            <w:r w:rsidRPr="00B256E0">
              <w:rPr>
                <w:sz w:val="20"/>
                <w:szCs w:val="20"/>
              </w:rPr>
              <w:t>in place</w:t>
            </w:r>
            <w:r w:rsidRPr="00B256E0">
              <w:rPr>
                <w:rFonts w:ascii="Aptos" w:hAnsi="Aptos" w:cs="Aptos"/>
                <w:sz w:val="20"/>
                <w:szCs w:val="20"/>
              </w:rPr>
              <w:t>”</w:t>
            </w:r>
            <w:r w:rsidRPr="00B256E0">
              <w:rPr>
                <w:sz w:val="20"/>
                <w:szCs w:val="20"/>
              </w:rPr>
              <w:t xml:space="preserve"> test).</w:t>
            </w:r>
          </w:p>
          <w:p w14:paraId="080D6BBA" w14:textId="77777777" w:rsidR="00422A6F" w:rsidRPr="00B256E0" w:rsidRDefault="00422A6F" w:rsidP="00422A6F">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0"/>
              </w:rPr>
            </w:pPr>
            <w:r w:rsidRPr="00B256E0">
              <w:rPr>
                <w:sz w:val="20"/>
                <w:szCs w:val="20"/>
              </w:rPr>
              <w:t>Structural constraints (exemptions/reservations) do not undermine TPA in practice (e.g., exemption regimes do not neutralize market access).</w:t>
            </w:r>
          </w:p>
          <w:p w14:paraId="05EA751F" w14:textId="77777777" w:rsidR="00422A6F" w:rsidRPr="00FC4B87" w:rsidRDefault="00422A6F" w:rsidP="009C6824">
            <w:pPr>
              <w:pStyle w:val="Compact"/>
              <w:ind w:left="720"/>
              <w:cnfStyle w:val="000000000000" w:firstRow="0" w:lastRow="0" w:firstColumn="0" w:lastColumn="0" w:oddVBand="0" w:evenVBand="0" w:oddHBand="0" w:evenHBand="0" w:firstRowFirstColumn="0" w:firstRowLastColumn="0" w:lastRowFirstColumn="0" w:lastRowLastColumn="0"/>
              <w:rPr>
                <w:sz w:val="20"/>
                <w:szCs w:val="21"/>
              </w:rPr>
            </w:pPr>
          </w:p>
        </w:tc>
      </w:tr>
      <w:tr w:rsidR="00422A6F" w:rsidRPr="002C702E" w14:paraId="6666B715"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D55E9D1" w14:textId="77777777" w:rsidR="00422A6F" w:rsidRPr="002C702E" w:rsidRDefault="00422A6F"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achievement of each milestone</w:t>
            </w:r>
          </w:p>
        </w:tc>
        <w:tc>
          <w:tcPr>
            <w:tcW w:w="6753" w:type="dxa"/>
          </w:tcPr>
          <w:p w14:paraId="33F7AE26" w14:textId="77777777" w:rsidR="00422A6F" w:rsidRPr="00D7131B"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7131B">
              <w:rPr>
                <w:i/>
                <w:iCs/>
                <w:sz w:val="20"/>
                <w:szCs w:val="20"/>
                <w:lang w:val="en-GB"/>
              </w:rPr>
              <w:t>For each identified milestone, provide a succinct analysis of its implementation process. Use numbered points corresponding to the defined milestones above. Please provide references wherever possible.</w:t>
            </w:r>
          </w:p>
          <w:p w14:paraId="3FE0BCA0" w14:textId="77777777" w:rsidR="00422A6F" w:rsidRDefault="00422A6F" w:rsidP="00422A6F">
            <w:pPr>
              <w:pStyle w:val="ListParagraph"/>
              <w:numPr>
                <w:ilvl w:val="0"/>
                <w:numId w:val="6"/>
              </w:numPr>
              <w:spacing w:after="200"/>
              <w:ind w:left="68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4C0B18">
              <w:rPr>
                <w:kern w:val="0"/>
                <w:sz w:val="20"/>
                <w:szCs w:val="21"/>
                <w14:ligatures w14:val="none"/>
              </w:rPr>
              <w:lastRenderedPageBreak/>
              <w:t>The Energy Law specifies that the ISO (Article 228) must “approve and charge third-party access” to the system (among other tasks), anchoring TPA as a statutory duty</w:t>
            </w:r>
            <w:r>
              <w:rPr>
                <w:kern w:val="0"/>
                <w:sz w:val="20"/>
                <w:szCs w:val="21"/>
                <w14:ligatures w14:val="none"/>
              </w:rPr>
              <w:t>.</w:t>
            </w:r>
            <w:r>
              <w:rPr>
                <w:rStyle w:val="FootnoteReference"/>
                <w:kern w:val="0"/>
                <w:sz w:val="20"/>
                <w:szCs w:val="21"/>
                <w14:ligatures w14:val="none"/>
              </w:rPr>
              <w:footnoteReference w:id="1"/>
            </w:r>
          </w:p>
          <w:p w14:paraId="2BB11148" w14:textId="77777777" w:rsidR="00422A6F" w:rsidRDefault="00422A6F" w:rsidP="00422A6F">
            <w:pPr>
              <w:pStyle w:val="ListParagraph"/>
              <w:numPr>
                <w:ilvl w:val="0"/>
                <w:numId w:val="6"/>
              </w:numPr>
              <w:spacing w:after="200"/>
              <w:ind w:left="68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proofErr w:type="spellStart"/>
            <w:r w:rsidRPr="00D07352">
              <w:rPr>
                <w:kern w:val="0"/>
                <w:sz w:val="20"/>
                <w:szCs w:val="21"/>
                <w14:ligatures w14:val="none"/>
              </w:rPr>
              <w:t>Transportgas</w:t>
            </w:r>
            <w:proofErr w:type="spellEnd"/>
            <w:r w:rsidRPr="00D07352">
              <w:rPr>
                <w:kern w:val="0"/>
                <w:sz w:val="20"/>
                <w:szCs w:val="21"/>
                <w14:ligatures w14:val="none"/>
              </w:rPr>
              <w:t xml:space="preserve"> publishes its rules framework publicly, including “Rules on Operation” (published 07.02.2025)</w:t>
            </w:r>
            <w:r>
              <w:rPr>
                <w:rStyle w:val="FootnoteReference"/>
                <w:kern w:val="0"/>
                <w:sz w:val="20"/>
                <w:szCs w:val="21"/>
                <w14:ligatures w14:val="none"/>
              </w:rPr>
              <w:footnoteReference w:id="2"/>
            </w:r>
            <w:r w:rsidRPr="00D07352">
              <w:rPr>
                <w:kern w:val="0"/>
                <w:sz w:val="20"/>
                <w:szCs w:val="21"/>
                <w14:ligatures w14:val="none"/>
              </w:rPr>
              <w:t xml:space="preserve"> and later amendments (published 28.05.2025)</w:t>
            </w:r>
            <w:r>
              <w:rPr>
                <w:kern w:val="0"/>
                <w:sz w:val="20"/>
                <w:szCs w:val="21"/>
                <w14:ligatures w14:val="none"/>
              </w:rPr>
              <w:t>,</w:t>
            </w:r>
            <w:r>
              <w:rPr>
                <w:rStyle w:val="FootnoteReference"/>
                <w:kern w:val="0"/>
                <w:sz w:val="20"/>
                <w:szCs w:val="21"/>
                <w14:ligatures w14:val="none"/>
              </w:rPr>
              <w:footnoteReference w:id="3"/>
            </w:r>
            <w:r w:rsidRPr="00D07352">
              <w:rPr>
                <w:kern w:val="0"/>
                <w:sz w:val="20"/>
                <w:szCs w:val="21"/>
                <w14:ligatures w14:val="none"/>
              </w:rPr>
              <w:t xml:space="preserve"> alongside AERS consent decisions. The AERS Council decision (30 January 2025) gave consent to </w:t>
            </w:r>
            <w:proofErr w:type="spellStart"/>
            <w:r w:rsidRPr="00D07352">
              <w:rPr>
                <w:kern w:val="0"/>
                <w:sz w:val="20"/>
                <w:szCs w:val="21"/>
                <w14:ligatures w14:val="none"/>
              </w:rPr>
              <w:t>Transportgas</w:t>
            </w:r>
            <w:proofErr w:type="spellEnd"/>
            <w:r w:rsidRPr="00D07352">
              <w:rPr>
                <w:kern w:val="0"/>
                <w:sz w:val="20"/>
                <w:szCs w:val="21"/>
                <w14:ligatures w14:val="none"/>
              </w:rPr>
              <w:t>’ Rules on Operation adopted by the company assembly on 28 January 2025</w:t>
            </w:r>
            <w:r>
              <w:rPr>
                <w:rStyle w:val="FootnoteReference"/>
                <w:kern w:val="0"/>
                <w:sz w:val="20"/>
                <w:szCs w:val="21"/>
                <w14:ligatures w14:val="none"/>
              </w:rPr>
              <w:footnoteReference w:id="4"/>
            </w:r>
            <w:r w:rsidRPr="00D07352">
              <w:rPr>
                <w:kern w:val="0"/>
                <w:sz w:val="20"/>
                <w:szCs w:val="21"/>
                <w14:ligatures w14:val="none"/>
              </w:rPr>
              <w:t xml:space="preserve"> (evidence of </w:t>
            </w:r>
            <w:proofErr w:type="spellStart"/>
            <w:r w:rsidRPr="00D07352">
              <w:rPr>
                <w:kern w:val="0"/>
                <w:sz w:val="20"/>
                <w:szCs w:val="21"/>
                <w14:ligatures w14:val="none"/>
              </w:rPr>
              <w:t>regulator</w:t>
            </w:r>
            <w:proofErr w:type="spellEnd"/>
            <w:r w:rsidRPr="00D07352">
              <w:rPr>
                <w:kern w:val="0"/>
                <w:sz w:val="20"/>
                <w:szCs w:val="21"/>
                <w14:ligatures w14:val="none"/>
              </w:rPr>
              <w:t xml:space="preserve"> approval). </w:t>
            </w:r>
            <w:r w:rsidRPr="007710D1">
              <w:rPr>
                <w:kern w:val="0"/>
                <w:sz w:val="20"/>
                <w:szCs w:val="21"/>
                <w14:ligatures w14:val="none"/>
              </w:rPr>
              <w:t xml:space="preserve">The rules text itself contains dedicated chapters on system access and capacity allocation, indicating that the formal operational rulebook exists. </w:t>
            </w:r>
          </w:p>
          <w:p w14:paraId="42F0B1C0" w14:textId="77777777" w:rsidR="00422A6F" w:rsidRDefault="00422A6F" w:rsidP="00422A6F">
            <w:pPr>
              <w:pStyle w:val="ListParagraph"/>
              <w:numPr>
                <w:ilvl w:val="0"/>
                <w:numId w:val="6"/>
              </w:numPr>
              <w:spacing w:after="200"/>
              <w:ind w:left="68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58458C">
              <w:rPr>
                <w:kern w:val="0"/>
                <w:sz w:val="20"/>
                <w:szCs w:val="21"/>
                <w14:ligatures w14:val="none"/>
              </w:rPr>
              <w:t xml:space="preserve">AERS’ approval of the Natural Gas Transmission Network Code of </w:t>
            </w:r>
            <w:proofErr w:type="spellStart"/>
            <w:r w:rsidRPr="0058458C">
              <w:rPr>
                <w:kern w:val="0"/>
                <w:sz w:val="20"/>
                <w:szCs w:val="21"/>
                <w14:ligatures w14:val="none"/>
              </w:rPr>
              <w:t>Transportgas</w:t>
            </w:r>
            <w:proofErr w:type="spellEnd"/>
            <w:r w:rsidRPr="0058458C">
              <w:rPr>
                <w:kern w:val="0"/>
                <w:sz w:val="20"/>
                <w:szCs w:val="21"/>
                <w14:ligatures w14:val="none"/>
              </w:rPr>
              <w:t xml:space="preserve"> (30 January 2025) states that (</w:t>
            </w:r>
            <w:proofErr w:type="spellStart"/>
            <w:r w:rsidRPr="0058458C">
              <w:rPr>
                <w:kern w:val="0"/>
                <w:sz w:val="20"/>
                <w:szCs w:val="21"/>
                <w14:ligatures w14:val="none"/>
              </w:rPr>
              <w:t>i</w:t>
            </w:r>
            <w:proofErr w:type="spellEnd"/>
            <w:r w:rsidRPr="0058458C">
              <w:rPr>
                <w:kern w:val="0"/>
                <w:sz w:val="20"/>
                <w:szCs w:val="21"/>
                <w14:ligatures w14:val="none"/>
              </w:rPr>
              <w:t xml:space="preserve">) the code was submitted on 28 January 2025, (ii) a public hearing occurred 9 August–9 September 2024, and (iii) the code regulates free access/fair treatment, including “access to the transmission system” and “capacity allocation on system entry and exit points.” </w:t>
            </w:r>
          </w:p>
          <w:p w14:paraId="26DFEE3D" w14:textId="017C3D9D" w:rsidR="00422A6F" w:rsidRPr="00A542D9" w:rsidRDefault="00422A6F" w:rsidP="00422A6F">
            <w:pPr>
              <w:pStyle w:val="ListParagraph"/>
              <w:numPr>
                <w:ilvl w:val="0"/>
                <w:numId w:val="6"/>
              </w:numPr>
              <w:spacing w:after="200"/>
              <w:ind w:left="68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proofErr w:type="spellStart"/>
            <w:r w:rsidRPr="00A542D9">
              <w:rPr>
                <w:kern w:val="0"/>
                <w:sz w:val="20"/>
                <w:szCs w:val="21"/>
                <w14:ligatures w14:val="none"/>
              </w:rPr>
              <w:t>Transportgas</w:t>
            </w:r>
            <w:proofErr w:type="spellEnd"/>
            <w:r w:rsidRPr="00A542D9">
              <w:rPr>
                <w:kern w:val="0"/>
                <w:sz w:val="20"/>
                <w:szCs w:val="21"/>
                <w14:ligatures w14:val="none"/>
              </w:rPr>
              <w:t>’ capacity-allocation platform states that annual capacity allocation results for gas years 2026–2030 were completed through its operational platform, aligned with the ENTSOG auction calendar, with the call for offers running 6 June–7 July 2025 and allocation completed 8 July 2025</w:t>
            </w:r>
            <w:r>
              <w:rPr>
                <w:kern w:val="0"/>
                <w:sz w:val="20"/>
                <w:szCs w:val="21"/>
                <w14:ligatures w14:val="none"/>
              </w:rPr>
              <w:t>.</w:t>
            </w:r>
            <w:r>
              <w:rPr>
                <w:rStyle w:val="FootnoteReference"/>
                <w:kern w:val="0"/>
                <w:sz w:val="20"/>
                <w:szCs w:val="21"/>
                <w14:ligatures w14:val="none"/>
              </w:rPr>
              <w:footnoteReference w:id="5"/>
            </w:r>
            <w:r>
              <w:rPr>
                <w:kern w:val="0"/>
                <w:sz w:val="20"/>
                <w:szCs w:val="21"/>
                <w14:ligatures w14:val="none"/>
              </w:rPr>
              <w:t xml:space="preserve"> </w:t>
            </w:r>
            <w:r w:rsidRPr="00A542D9">
              <w:rPr>
                <w:kern w:val="0"/>
                <w:sz w:val="20"/>
                <w:szCs w:val="21"/>
                <w14:ligatures w14:val="none"/>
              </w:rPr>
              <w:t>This supports that at least one structured capacity-allocation process was run in June 2025 .</w:t>
            </w:r>
          </w:p>
          <w:p w14:paraId="77C36BAE" w14:textId="77777777" w:rsidR="00422A6F" w:rsidRDefault="00422A6F" w:rsidP="00422A6F">
            <w:pPr>
              <w:pStyle w:val="ListParagraph"/>
              <w:numPr>
                <w:ilvl w:val="0"/>
                <w:numId w:val="6"/>
              </w:numPr>
              <w:spacing w:after="200"/>
              <w:ind w:left="68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3A7A7A">
              <w:rPr>
                <w:kern w:val="0"/>
                <w:sz w:val="20"/>
                <w:szCs w:val="21"/>
                <w14:ligatures w14:val="none"/>
              </w:rPr>
              <w:t>Despite the existence of rules and a platform statement, external assessments indicate that effective, transparent TPA at interconnection points was still not ensured during the relevant assessment windows. The Energy Community Secretariat’s Serbia report states that “transparent third</w:t>
            </w:r>
            <w:r w:rsidRPr="003A7A7A">
              <w:rPr>
                <w:rFonts w:ascii="Cambria Math" w:hAnsi="Cambria Math" w:cs="Cambria Math"/>
                <w:kern w:val="0"/>
                <w:sz w:val="20"/>
                <w:szCs w:val="21"/>
                <w14:ligatures w14:val="none"/>
              </w:rPr>
              <w:t>‑</w:t>
            </w:r>
            <w:r w:rsidRPr="003A7A7A">
              <w:rPr>
                <w:kern w:val="0"/>
                <w:sz w:val="20"/>
                <w:szCs w:val="21"/>
                <w14:ligatures w14:val="none"/>
              </w:rPr>
              <w:t>party access and, consequently, capacity allocation have not yet been conducted</w:t>
            </w:r>
            <w:r w:rsidRPr="003A7A7A">
              <w:rPr>
                <w:rFonts w:ascii="Aptos" w:hAnsi="Aptos" w:cs="Aptos"/>
                <w:kern w:val="0"/>
                <w:sz w:val="20"/>
                <w:szCs w:val="21"/>
                <w14:ligatures w14:val="none"/>
              </w:rPr>
              <w:t>”</w:t>
            </w:r>
            <w:r w:rsidRPr="003A7A7A">
              <w:rPr>
                <w:kern w:val="0"/>
                <w:sz w:val="20"/>
                <w:szCs w:val="21"/>
                <w14:ligatures w14:val="none"/>
              </w:rPr>
              <w:t xml:space="preserve"> at IPs managed by </w:t>
            </w:r>
            <w:proofErr w:type="spellStart"/>
            <w:r w:rsidRPr="003A7A7A">
              <w:rPr>
                <w:kern w:val="0"/>
                <w:sz w:val="20"/>
                <w:szCs w:val="21"/>
                <w14:ligatures w14:val="none"/>
              </w:rPr>
              <w:t>Transportgas</w:t>
            </w:r>
            <w:proofErr w:type="spellEnd"/>
            <w:r w:rsidRPr="003A7A7A">
              <w:rPr>
                <w:kern w:val="0"/>
                <w:sz w:val="20"/>
                <w:szCs w:val="21"/>
                <w14:ligatures w14:val="none"/>
              </w:rPr>
              <w:t xml:space="preserve"> and that the booking system was problematic</w:t>
            </w:r>
            <w:r>
              <w:rPr>
                <w:kern w:val="0"/>
                <w:sz w:val="20"/>
                <w:szCs w:val="21"/>
                <w14:ligatures w14:val="none"/>
              </w:rPr>
              <w:t>, due to difficult access and the lack of guidance.</w:t>
            </w:r>
            <w:r>
              <w:rPr>
                <w:rStyle w:val="FootnoteReference"/>
                <w:kern w:val="0"/>
                <w:sz w:val="20"/>
                <w:szCs w:val="21"/>
                <w14:ligatures w14:val="none"/>
              </w:rPr>
              <w:footnoteReference w:id="6"/>
            </w:r>
            <w:r>
              <w:rPr>
                <w:kern w:val="0"/>
                <w:sz w:val="20"/>
                <w:szCs w:val="21"/>
                <w14:ligatures w14:val="none"/>
              </w:rPr>
              <w:t xml:space="preserve"> </w:t>
            </w:r>
            <w:r w:rsidRPr="003A7A7A">
              <w:rPr>
                <w:kern w:val="0"/>
                <w:sz w:val="20"/>
                <w:szCs w:val="21"/>
                <w14:ligatures w14:val="none"/>
              </w:rPr>
              <w:t>The Energy Community Regulatory Board’s</w:t>
            </w:r>
            <w:r>
              <w:rPr>
                <w:kern w:val="0"/>
                <w:sz w:val="20"/>
                <w:szCs w:val="21"/>
                <w14:ligatures w14:val="none"/>
              </w:rPr>
              <w:t xml:space="preserve"> (ECRB)</w:t>
            </w:r>
            <w:r w:rsidRPr="003A7A7A">
              <w:rPr>
                <w:kern w:val="0"/>
                <w:sz w:val="20"/>
                <w:szCs w:val="21"/>
                <w14:ligatures w14:val="none"/>
              </w:rPr>
              <w:t xml:space="preserve"> contractual congestion report for 2025 explicitly interprets </w:t>
            </w:r>
            <w:proofErr w:type="spellStart"/>
            <w:r w:rsidRPr="003A7A7A">
              <w:rPr>
                <w:kern w:val="0"/>
                <w:sz w:val="20"/>
                <w:szCs w:val="21"/>
                <w14:ligatures w14:val="none"/>
              </w:rPr>
              <w:t>Transportgas</w:t>
            </w:r>
            <w:proofErr w:type="spellEnd"/>
            <w:r w:rsidRPr="003A7A7A">
              <w:rPr>
                <w:kern w:val="0"/>
                <w:sz w:val="20"/>
                <w:szCs w:val="21"/>
                <w14:ligatures w14:val="none"/>
              </w:rPr>
              <w:t xml:space="preserve"> “non</w:t>
            </w:r>
            <w:r w:rsidRPr="003A7A7A">
              <w:rPr>
                <w:rFonts w:ascii="Cambria Math" w:hAnsi="Cambria Math" w:cs="Cambria Math"/>
                <w:kern w:val="0"/>
                <w:sz w:val="20"/>
                <w:szCs w:val="21"/>
                <w14:ligatures w14:val="none"/>
              </w:rPr>
              <w:t>‑</w:t>
            </w:r>
            <w:r w:rsidRPr="003A7A7A">
              <w:rPr>
                <w:kern w:val="0"/>
                <w:sz w:val="20"/>
                <w:szCs w:val="21"/>
                <w14:ligatures w14:val="none"/>
              </w:rPr>
              <w:t>offer of capacity</w:t>
            </w:r>
            <w:r w:rsidRPr="003A7A7A">
              <w:rPr>
                <w:rFonts w:ascii="Aptos" w:hAnsi="Aptos" w:cs="Aptos"/>
                <w:kern w:val="0"/>
                <w:sz w:val="20"/>
                <w:szCs w:val="21"/>
                <w14:ligatures w14:val="none"/>
              </w:rPr>
              <w:t>”</w:t>
            </w:r>
            <w:r w:rsidRPr="003A7A7A">
              <w:rPr>
                <w:kern w:val="0"/>
                <w:sz w:val="20"/>
                <w:szCs w:val="21"/>
                <w14:ligatures w14:val="none"/>
              </w:rPr>
              <w:t xml:space="preserve"> as signaling a lack of third</w:t>
            </w:r>
            <w:r w:rsidRPr="003A7A7A">
              <w:rPr>
                <w:rFonts w:ascii="Cambria Math" w:hAnsi="Cambria Math" w:cs="Cambria Math"/>
                <w:kern w:val="0"/>
                <w:sz w:val="20"/>
                <w:szCs w:val="21"/>
                <w14:ligatures w14:val="none"/>
              </w:rPr>
              <w:t>‑</w:t>
            </w:r>
            <w:r w:rsidRPr="003A7A7A">
              <w:rPr>
                <w:kern w:val="0"/>
                <w:sz w:val="20"/>
                <w:szCs w:val="21"/>
                <w14:ligatures w14:val="none"/>
              </w:rPr>
              <w:t>party access on three interconnection points</w:t>
            </w:r>
            <w:r>
              <w:rPr>
                <w:kern w:val="0"/>
                <w:sz w:val="20"/>
                <w:szCs w:val="21"/>
                <w14:ligatures w14:val="none"/>
              </w:rPr>
              <w:t>.</w:t>
            </w:r>
            <w:r>
              <w:rPr>
                <w:rStyle w:val="FootnoteReference"/>
                <w:kern w:val="0"/>
                <w:sz w:val="20"/>
                <w:szCs w:val="21"/>
                <w14:ligatures w14:val="none"/>
              </w:rPr>
              <w:footnoteReference w:id="7"/>
            </w:r>
            <w:r w:rsidRPr="003A7A7A">
              <w:rPr>
                <w:kern w:val="0"/>
                <w:sz w:val="20"/>
                <w:szCs w:val="21"/>
                <w14:ligatures w14:val="none"/>
              </w:rPr>
              <w:t xml:space="preserve"> </w:t>
            </w:r>
            <w:r w:rsidRPr="004D0710">
              <w:rPr>
                <w:kern w:val="0"/>
                <w:sz w:val="20"/>
                <w:szCs w:val="21"/>
                <w14:ligatures w14:val="none"/>
              </w:rPr>
              <w:t xml:space="preserve">The European Commission similarly calls for Serbia to ensure “effective, non-discriminatory, and transparent third-party access at all gas entry points,” indicating this is not considered fully achieved. </w:t>
            </w:r>
            <w:r>
              <w:rPr>
                <w:kern w:val="0"/>
                <w:sz w:val="20"/>
                <w:szCs w:val="21"/>
                <w14:ligatures w14:val="none"/>
              </w:rPr>
              <w:t>The preparations for the Regional Booking Platform have progressed, with the operationalization expected soon, in gas year 2026/2027. This effort should greatly improve the TPA in Serbia.</w:t>
            </w:r>
          </w:p>
          <w:p w14:paraId="1F06E408" w14:textId="77777777" w:rsidR="00422A6F" w:rsidRPr="001B0A94" w:rsidRDefault="00422A6F" w:rsidP="00422A6F">
            <w:pPr>
              <w:pStyle w:val="ListParagraph"/>
              <w:numPr>
                <w:ilvl w:val="0"/>
                <w:numId w:val="6"/>
              </w:numPr>
              <w:spacing w:after="200"/>
              <w:ind w:left="68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1B0A94">
              <w:rPr>
                <w:kern w:val="0"/>
                <w:sz w:val="20"/>
                <w:szCs w:val="21"/>
                <w14:ligatures w14:val="none"/>
              </w:rPr>
              <w:lastRenderedPageBreak/>
              <w:t xml:space="preserve">Structural constraints materially affect TPA. An AERS exemption act document concerning </w:t>
            </w:r>
            <w:proofErr w:type="spellStart"/>
            <w:r w:rsidRPr="001B0A94">
              <w:rPr>
                <w:kern w:val="0"/>
                <w:sz w:val="20"/>
                <w:szCs w:val="21"/>
                <w14:ligatures w14:val="none"/>
              </w:rPr>
              <w:t>Gastrans</w:t>
            </w:r>
            <w:proofErr w:type="spellEnd"/>
            <w:r>
              <w:rPr>
                <w:rStyle w:val="FootnoteReference"/>
                <w:kern w:val="0"/>
                <w:sz w:val="20"/>
                <w:szCs w:val="21"/>
                <w14:ligatures w14:val="none"/>
              </w:rPr>
              <w:footnoteReference w:id="8"/>
            </w:r>
            <w:r w:rsidRPr="001B0A94">
              <w:rPr>
                <w:kern w:val="0"/>
                <w:sz w:val="20"/>
                <w:szCs w:val="21"/>
                <w14:ligatures w14:val="none"/>
              </w:rPr>
              <w:t xml:space="preserve"> discusses an “objective reason” justifying 88% of capacity for priority allocation at entry and exit points and sets a long-term exemption architecture, which inherently limits open access on key corridors and reduces the practical contestability of entry capacity. The mix of (</w:t>
            </w:r>
            <w:proofErr w:type="spellStart"/>
            <w:r w:rsidRPr="001B0A94">
              <w:rPr>
                <w:kern w:val="0"/>
                <w:sz w:val="20"/>
                <w:szCs w:val="21"/>
                <w14:ligatures w14:val="none"/>
              </w:rPr>
              <w:t>i</w:t>
            </w:r>
            <w:proofErr w:type="spellEnd"/>
            <w:r w:rsidRPr="001B0A94">
              <w:rPr>
                <w:kern w:val="0"/>
                <w:sz w:val="20"/>
                <w:szCs w:val="21"/>
                <w14:ligatures w14:val="none"/>
              </w:rPr>
              <w:t xml:space="preserve">) reserved/exempted capacity regimes and (ii) </w:t>
            </w:r>
            <w:proofErr w:type="spellStart"/>
            <w:r w:rsidRPr="001B0A94">
              <w:rPr>
                <w:kern w:val="0"/>
                <w:sz w:val="20"/>
                <w:szCs w:val="21"/>
                <w14:ligatures w14:val="none"/>
              </w:rPr>
              <w:t>Transportgas</w:t>
            </w:r>
            <w:proofErr w:type="spellEnd"/>
            <w:r w:rsidRPr="001B0A94">
              <w:rPr>
                <w:kern w:val="0"/>
                <w:sz w:val="20"/>
                <w:szCs w:val="21"/>
                <w14:ligatures w14:val="none"/>
              </w:rPr>
              <w:t xml:space="preserve"> non-offer/non-availability at certain IPs as flagged by ECRB makes it difficult to conclude that TPA is “in place” in the Reform Agenda sense of open, non-discriminatory access.</w:t>
            </w:r>
          </w:p>
        </w:tc>
      </w:tr>
      <w:tr w:rsidR="00422A6F" w:rsidRPr="002C702E" w14:paraId="18CAE279"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D8A98F8" w14:textId="77777777" w:rsidR="00422A6F" w:rsidRPr="002C702E" w:rsidRDefault="00422A6F"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191B0AA2" w14:textId="77777777" w:rsidR="00422A6F" w:rsidRPr="00E22BAB"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22BAB">
              <w:rPr>
                <w:sz w:val="20"/>
                <w:szCs w:val="20"/>
              </w:rPr>
              <w:t xml:space="preserve">A core issue is the difference between formal readiness (rules, codes, platform notice) and effective openness (capacity </w:t>
            </w:r>
            <w:proofErr w:type="gramStart"/>
            <w:r w:rsidRPr="00E22BAB">
              <w:rPr>
                <w:sz w:val="20"/>
                <w:szCs w:val="20"/>
              </w:rPr>
              <w:t>actually offered</w:t>
            </w:r>
            <w:proofErr w:type="gramEnd"/>
            <w:r w:rsidRPr="00E22BAB">
              <w:rPr>
                <w:sz w:val="20"/>
                <w:szCs w:val="20"/>
              </w:rPr>
              <w:t xml:space="preserve"> and allocable transparently to third parties). The Energy Community Secretariat and ECRB assessments show continuing problems with non-offer of capacity and missing transparency/user-friendliness, which undermines the operational meaning of “TPA is in place.”</w:t>
            </w:r>
          </w:p>
          <w:p w14:paraId="3D73A698" w14:textId="77777777" w:rsidR="00422A6F" w:rsidRPr="00B951CB"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E22BAB">
              <w:rPr>
                <w:sz w:val="20"/>
                <w:szCs w:val="20"/>
              </w:rPr>
              <w:t xml:space="preserve">A second issue is that exemption/reservation regimes on key corridors constrain practical entry access. Even with a formal TPA framework, </w:t>
            </w:r>
            <w:proofErr w:type="gramStart"/>
            <w:r w:rsidRPr="00E22BAB">
              <w:rPr>
                <w:sz w:val="20"/>
                <w:szCs w:val="20"/>
              </w:rPr>
              <w:t>large reserved</w:t>
            </w:r>
            <w:proofErr w:type="gramEnd"/>
            <w:r w:rsidRPr="00E22BAB">
              <w:rPr>
                <w:sz w:val="20"/>
                <w:szCs w:val="20"/>
              </w:rPr>
              <w:t xml:space="preserve"> capacity shares reduce competitive access in practice</w:t>
            </w:r>
            <w:r>
              <w:rPr>
                <w:sz w:val="20"/>
                <w:szCs w:val="20"/>
              </w:rPr>
              <w:t xml:space="preserve">, </w:t>
            </w:r>
            <w:r w:rsidRPr="00E22BAB">
              <w:rPr>
                <w:sz w:val="20"/>
                <w:szCs w:val="20"/>
              </w:rPr>
              <w:t xml:space="preserve">particularly if coupled with limited or non-offered capacity on other interconnection points. </w:t>
            </w:r>
          </w:p>
        </w:tc>
      </w:tr>
      <w:tr w:rsidR="00422A6F" w:rsidRPr="002C702E" w14:paraId="73A20F92"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A5EF9D9" w14:textId="77777777" w:rsidR="00422A6F" w:rsidRPr="002C702E" w:rsidRDefault="00422A6F"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68A3D505" w14:textId="77777777" w:rsidR="00422A6F"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702FFCD3" w14:textId="342F1F48"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B698A">
              <w:rPr>
                <w:sz w:val="20"/>
                <w:szCs w:val="20"/>
              </w:rPr>
              <w:t>There is progress</w:t>
            </w:r>
            <w:r>
              <w:rPr>
                <w:sz w:val="20"/>
                <w:szCs w:val="20"/>
              </w:rPr>
              <w:t xml:space="preserve"> in transparency. R</w:t>
            </w:r>
            <w:r w:rsidRPr="000B698A">
              <w:rPr>
                <w:sz w:val="20"/>
                <w:szCs w:val="20"/>
              </w:rPr>
              <w:t>ules and some results are published</w:t>
            </w:r>
            <w:r>
              <w:rPr>
                <w:sz w:val="20"/>
                <w:szCs w:val="20"/>
              </w:rPr>
              <w:t xml:space="preserve">, as well as the information and results of public </w:t>
            </w:r>
            <w:proofErr w:type="spellStart"/>
            <w:r>
              <w:rPr>
                <w:sz w:val="20"/>
                <w:szCs w:val="20"/>
              </w:rPr>
              <w:t>conculstations</w:t>
            </w:r>
            <w:proofErr w:type="spellEnd"/>
            <w:r>
              <w:rPr>
                <w:sz w:val="20"/>
                <w:szCs w:val="20"/>
              </w:rPr>
              <w:t xml:space="preserve"> regarding the adoption of network code. </w:t>
            </w:r>
          </w:p>
          <w:p w14:paraId="7C032CF3" w14:textId="77777777"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20E061B0" w14:textId="0ECFD9D0"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772497">
              <w:rPr>
                <w:sz w:val="20"/>
                <w:szCs w:val="20"/>
                <w:lang w:val="en-GB"/>
              </w:rPr>
              <w:t xml:space="preserve">The AERS-approved transmission network code underwent a public </w:t>
            </w:r>
            <w:r>
              <w:rPr>
                <w:sz w:val="20"/>
                <w:szCs w:val="20"/>
                <w:lang w:val="en-GB"/>
              </w:rPr>
              <w:t>consultation</w:t>
            </w:r>
            <w:r w:rsidRPr="00772497">
              <w:rPr>
                <w:sz w:val="20"/>
                <w:szCs w:val="20"/>
                <w:lang w:val="en-GB"/>
              </w:rPr>
              <w:t xml:space="preserve"> (Aug</w:t>
            </w:r>
            <w:r>
              <w:rPr>
                <w:sz w:val="20"/>
                <w:szCs w:val="20"/>
                <w:lang w:val="en-GB"/>
              </w:rPr>
              <w:t>ust 9</w:t>
            </w:r>
            <w:r w:rsidRPr="00772497">
              <w:rPr>
                <w:sz w:val="20"/>
                <w:szCs w:val="20"/>
                <w:lang w:val="en-GB"/>
              </w:rPr>
              <w:t>–Sep</w:t>
            </w:r>
            <w:r>
              <w:rPr>
                <w:sz w:val="20"/>
                <w:szCs w:val="20"/>
                <w:lang w:val="en-GB"/>
              </w:rPr>
              <w:t>tember</w:t>
            </w:r>
            <w:r w:rsidRPr="00772497">
              <w:rPr>
                <w:sz w:val="20"/>
                <w:szCs w:val="20"/>
                <w:lang w:val="en-GB"/>
              </w:rPr>
              <w:t xml:space="preserve"> </w:t>
            </w:r>
            <w:r>
              <w:rPr>
                <w:sz w:val="20"/>
                <w:szCs w:val="20"/>
                <w:lang w:val="en-GB"/>
              </w:rPr>
              <w:t xml:space="preserve">9, </w:t>
            </w:r>
            <w:r w:rsidRPr="00772497">
              <w:rPr>
                <w:sz w:val="20"/>
                <w:szCs w:val="20"/>
                <w:lang w:val="en-GB"/>
              </w:rPr>
              <w:t>2024)</w:t>
            </w:r>
            <w:r>
              <w:rPr>
                <w:rStyle w:val="FootnoteReference"/>
                <w:sz w:val="20"/>
                <w:szCs w:val="20"/>
                <w:lang w:val="en-GB"/>
              </w:rPr>
              <w:footnoteReference w:id="9"/>
            </w:r>
            <w:r w:rsidRPr="00772497">
              <w:rPr>
                <w:sz w:val="20"/>
                <w:szCs w:val="20"/>
                <w:lang w:val="en-GB"/>
              </w:rPr>
              <w:t>, indicating a formal participatory mechanism</w:t>
            </w:r>
            <w:r>
              <w:rPr>
                <w:sz w:val="20"/>
                <w:szCs w:val="20"/>
                <w:lang w:val="en-GB"/>
              </w:rPr>
              <w:t>, lasting for 30 days.</w:t>
            </w:r>
            <w:r w:rsidRPr="00772497">
              <w:rPr>
                <w:sz w:val="20"/>
                <w:szCs w:val="20"/>
                <w:lang w:val="en-GB"/>
              </w:rPr>
              <w:t xml:space="preserve"> </w:t>
            </w:r>
            <w:r>
              <w:rPr>
                <w:sz w:val="20"/>
                <w:szCs w:val="20"/>
                <w:lang w:val="en-GB"/>
              </w:rPr>
              <w:t xml:space="preserve">Most of the milestones are of the technical nature, so no broader participation is required. </w:t>
            </w:r>
          </w:p>
          <w:p w14:paraId="5B1056B5" w14:textId="77777777"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p>
          <w:p w14:paraId="1CDB3952" w14:textId="77777777" w:rsidR="00422A6F" w:rsidRPr="002C702E"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2132B0EB" w14:textId="77777777"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2127D7">
              <w:rPr>
                <w:sz w:val="20"/>
                <w:szCs w:val="20"/>
                <w:lang w:val="en-GB"/>
              </w:rPr>
              <w:t>Issuing rules/codes and running an annual allocation cycle is proportionate to implementing EU-style network code requirements. The concern is not excess, but insufficient practical effect.</w:t>
            </w:r>
          </w:p>
          <w:p w14:paraId="30B9EEB4" w14:textId="77777777"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p>
          <w:p w14:paraId="6807463B" w14:textId="77777777"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647B33">
              <w:rPr>
                <w:b/>
                <w:bCs/>
                <w:sz w:val="20"/>
                <w:szCs w:val="20"/>
                <w:lang w:val="en-GB"/>
              </w:rPr>
              <w:t>Equal treatment / non</w:t>
            </w:r>
            <w:r w:rsidRPr="00647B33">
              <w:rPr>
                <w:rFonts w:ascii="Cambria Math" w:hAnsi="Cambria Math" w:cs="Cambria Math"/>
                <w:b/>
                <w:bCs/>
                <w:sz w:val="20"/>
                <w:szCs w:val="20"/>
                <w:lang w:val="en-GB"/>
              </w:rPr>
              <w:t>‑</w:t>
            </w:r>
            <w:r w:rsidRPr="00647B33">
              <w:rPr>
                <w:b/>
                <w:bCs/>
                <w:sz w:val="20"/>
                <w:szCs w:val="20"/>
                <w:lang w:val="en-GB"/>
              </w:rPr>
              <w:t>discrimination</w:t>
            </w:r>
          </w:p>
          <w:p w14:paraId="7A1E3346" w14:textId="77777777" w:rsidR="00422A6F" w:rsidRPr="002C702E"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47B33">
              <w:rPr>
                <w:sz w:val="20"/>
                <w:szCs w:val="20"/>
                <w:lang w:val="en-GB"/>
              </w:rPr>
              <w:t xml:space="preserve">The ECRB report explicitly links non-offer of capacity by </w:t>
            </w:r>
            <w:proofErr w:type="spellStart"/>
            <w:r w:rsidRPr="00647B33">
              <w:rPr>
                <w:sz w:val="20"/>
                <w:szCs w:val="20"/>
                <w:lang w:val="en-GB"/>
              </w:rPr>
              <w:t>Transportgas</w:t>
            </w:r>
            <w:proofErr w:type="spellEnd"/>
            <w:r w:rsidRPr="00647B33">
              <w:rPr>
                <w:sz w:val="20"/>
                <w:szCs w:val="20"/>
                <w:lang w:val="en-GB"/>
              </w:rPr>
              <w:t xml:space="preserve"> to lack of third</w:t>
            </w:r>
            <w:r w:rsidRPr="00647B33">
              <w:rPr>
                <w:rFonts w:ascii="Cambria Math" w:hAnsi="Cambria Math" w:cs="Cambria Math"/>
                <w:sz w:val="20"/>
                <w:szCs w:val="20"/>
                <w:lang w:val="en-GB"/>
              </w:rPr>
              <w:t>‑</w:t>
            </w:r>
            <w:r w:rsidRPr="00647B33">
              <w:rPr>
                <w:sz w:val="20"/>
                <w:szCs w:val="20"/>
                <w:lang w:val="en-GB"/>
              </w:rPr>
              <w:t>party access, and the Energy Community Secretariat describes non-transparent allocation to incumbents. These are directly inconsistent with the equal-treatment principle for market entry.</w:t>
            </w:r>
          </w:p>
        </w:tc>
      </w:tr>
      <w:tr w:rsidR="00422A6F" w:rsidRPr="002C702E" w14:paraId="132FCA4E"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B3C39B8" w14:textId="77777777" w:rsidR="00422A6F" w:rsidRPr="002C702E" w:rsidRDefault="00422A6F"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407F0E0D" w14:textId="77777777" w:rsidR="00422A6F" w:rsidRPr="002C702E"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654AEA21" w14:textId="77777777" w:rsidR="00422A6F" w:rsidRPr="002C702E"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Pr="002C702E">
              <w:rPr>
                <w:sz w:val="20"/>
                <w:szCs w:val="20"/>
                <w:lang w:val="en-GB"/>
              </w:rPr>
              <w:t>YES, although not as listed in the Reform Agenda</w:t>
            </w:r>
            <w:r>
              <w:rPr>
                <w:sz w:val="20"/>
                <w:szCs w:val="20"/>
                <w:lang w:val="en-GB"/>
              </w:rPr>
              <w:t xml:space="preserve">. The information on the “Gas </w:t>
            </w:r>
            <w:proofErr w:type="spellStart"/>
            <w:r>
              <w:rPr>
                <w:sz w:val="20"/>
                <w:szCs w:val="20"/>
                <w:lang w:val="en-GB"/>
              </w:rPr>
              <w:t>Infrastruktura</w:t>
            </w:r>
            <w:proofErr w:type="spellEnd"/>
            <w:r>
              <w:rPr>
                <w:sz w:val="20"/>
                <w:szCs w:val="20"/>
                <w:lang w:val="en-GB"/>
              </w:rPr>
              <w:t xml:space="preserve">” company is available on the website of Serbian Business Registry Agency. The main issue was lack of Report of TSO on non-discriminatory measures for 2025, which is expected later in 2026 (the Report for 2024 was published in </w:t>
            </w:r>
            <w:proofErr w:type="gramStart"/>
            <w:r>
              <w:rPr>
                <w:sz w:val="20"/>
                <w:szCs w:val="20"/>
                <w:lang w:val="en-GB"/>
              </w:rPr>
              <w:t>November,</w:t>
            </w:r>
            <w:proofErr w:type="gramEnd"/>
            <w:r>
              <w:rPr>
                <w:sz w:val="20"/>
                <w:szCs w:val="20"/>
                <w:lang w:val="en-GB"/>
              </w:rPr>
              <w:t xml:space="preserve"> 2025).</w:t>
            </w:r>
          </w:p>
          <w:p w14:paraId="0604D2ED" w14:textId="77777777" w:rsidR="00422A6F" w:rsidRPr="002C702E"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021C86E6" w14:textId="77777777" w:rsidR="00422A6F" w:rsidRPr="002C702E" w:rsidRDefault="00422A6F" w:rsidP="00422A6F">
            <w:pPr>
              <w:pStyle w:val="ListParagraph"/>
              <w:numPr>
                <w:ilvl w:val="0"/>
                <w:numId w:val="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Government of the Republic of Serbia</w:t>
            </w:r>
          </w:p>
          <w:p w14:paraId="1B6FCCE5" w14:textId="77777777" w:rsidR="00422A6F" w:rsidRDefault="00422A6F" w:rsidP="00422A6F">
            <w:pPr>
              <w:pStyle w:val="ListParagraph"/>
              <w:numPr>
                <w:ilvl w:val="0"/>
                <w:numId w:val="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AERS</w:t>
            </w:r>
          </w:p>
          <w:p w14:paraId="2B142E88" w14:textId="77777777" w:rsidR="00422A6F" w:rsidRPr="002C702E" w:rsidRDefault="00422A6F" w:rsidP="00422A6F">
            <w:pPr>
              <w:pStyle w:val="ListParagraph"/>
              <w:numPr>
                <w:ilvl w:val="0"/>
                <w:numId w:val="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Energy Community Secretariate </w:t>
            </w:r>
          </w:p>
          <w:p w14:paraId="4049F0DF" w14:textId="77777777" w:rsidR="00422A6F" w:rsidRPr="002C702E"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p>
          <w:p w14:paraId="6FAA7034" w14:textId="77777777" w:rsidR="00422A6F" w:rsidRPr="006D617D"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7" w:history="1">
              <w:r w:rsidRPr="006D617D">
                <w:rPr>
                  <w:rStyle w:val="Hyperlink"/>
                  <w:sz w:val="20"/>
                  <w:szCs w:val="20"/>
                </w:rPr>
                <w:t>https://www.paragraf.rs/propisi/zakon_o_energetici.html</w:t>
              </w:r>
            </w:hyperlink>
          </w:p>
          <w:p w14:paraId="789F68E2" w14:textId="77777777" w:rsidR="00422A6F" w:rsidRPr="00422A6F"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4A24BF">
                <w:rPr>
                  <w:rStyle w:val="Hyperlink"/>
                  <w:sz w:val="20"/>
                  <w:szCs w:val="20"/>
                  <w:lang w:val="en-GB"/>
                </w:rPr>
                <w:t>https://www.paragraf.rs/propisi/zakon-o-cevovodnom-transportu-gasovitih-i-tecnih-ugljovodonika-i-distribuciji-gasovitih.html</w:t>
              </w:r>
            </w:hyperlink>
          </w:p>
          <w:p w14:paraId="168798D2" w14:textId="77777777" w:rsidR="00422A6F"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DD5194">
                <w:rPr>
                  <w:rStyle w:val="Hyperlink"/>
                  <w:sz w:val="20"/>
                  <w:szCs w:val="20"/>
                  <w:lang w:val="en-GB"/>
                </w:rPr>
                <w:t>https://www.transportgas-srbija.rs/vesti/obavestenje-o-zapocinjanju-javnix-konsultacija-vezano-za-nacrt-pravila-o-radu-transportnog-sistema-transportgas-srbija-doo-i-nacrta-modela-ugovora-o-transportu-prirodnog-gasa</w:t>
              </w:r>
            </w:hyperlink>
          </w:p>
          <w:p w14:paraId="6AFE675C" w14:textId="77777777" w:rsidR="00422A6F"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34767">
              <w:rPr>
                <w:sz w:val="20"/>
                <w:szCs w:val="20"/>
                <w:lang w:val="en-GB"/>
              </w:rPr>
              <w:t>https://api.transportgas-srbija.rs/assets/izvestaj-sa-javne-konsultacije-vezane-za-nacrt-pravila-o-radu-transportnog-sistema-transportgas-srbija.doc</w:t>
            </w:r>
          </w:p>
          <w:p w14:paraId="3CD021AB" w14:textId="77777777" w:rsidR="00422A6F"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0" w:history="1">
              <w:r w:rsidRPr="004A24BF">
                <w:rPr>
                  <w:rStyle w:val="Hyperlink"/>
                  <w:sz w:val="20"/>
                  <w:szCs w:val="20"/>
                  <w:lang w:val="en-GB"/>
                </w:rPr>
                <w:t>https://api.transportgas-srbija.rs/assets/odluka-saveta-agencije-za-energetiku-republike-srbije-odavanju-saglasnosti-na-pravila-o-radu-%281%29.pdf</w:t>
              </w:r>
            </w:hyperlink>
            <w:r>
              <w:rPr>
                <w:sz w:val="20"/>
                <w:szCs w:val="20"/>
                <w:lang w:val="en-GB"/>
              </w:rPr>
              <w:t xml:space="preserve"> </w:t>
            </w:r>
          </w:p>
          <w:p w14:paraId="17A87085" w14:textId="77777777" w:rsidR="00422A6F"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1" w:history="1">
              <w:r w:rsidRPr="004A24BF">
                <w:rPr>
                  <w:rStyle w:val="Hyperlink"/>
                  <w:sz w:val="20"/>
                  <w:szCs w:val="20"/>
                  <w:lang w:val="en-GB"/>
                </w:rPr>
                <w:t>https://www.transportgas-srbija.rs/sr/pristup-sistemu/pravila-o-radu-transportnog-sistema</w:t>
              </w:r>
            </w:hyperlink>
            <w:r>
              <w:rPr>
                <w:sz w:val="20"/>
                <w:szCs w:val="20"/>
                <w:lang w:val="en-GB"/>
              </w:rPr>
              <w:t xml:space="preserve"> </w:t>
            </w:r>
          </w:p>
          <w:p w14:paraId="33F1582A" w14:textId="77777777" w:rsidR="00422A6F" w:rsidRPr="00C336CA"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2" w:history="1">
              <w:r w:rsidRPr="004A24BF">
                <w:rPr>
                  <w:rStyle w:val="Hyperlink"/>
                  <w:sz w:val="20"/>
                  <w:szCs w:val="20"/>
                  <w:lang w:val="en-GB"/>
                </w:rPr>
                <w:t>https://www.energy-community.org/dam/jcr:5b4ff2d5-5672-4989-ad81-d7fd9e27a7f7/Serbia_IR25CP.pdf</w:t>
              </w:r>
            </w:hyperlink>
            <w:r>
              <w:rPr>
                <w:sz w:val="20"/>
                <w:szCs w:val="20"/>
                <w:lang w:val="en-GB"/>
              </w:rPr>
              <w:t xml:space="preserve"> </w:t>
            </w:r>
          </w:p>
          <w:p w14:paraId="4CCFFF6D" w14:textId="77777777" w:rsidR="00422A6F" w:rsidRDefault="00422A6F" w:rsidP="00422A6F">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3" w:history="1">
              <w:r w:rsidRPr="004A24BF">
                <w:rPr>
                  <w:rStyle w:val="Hyperlink"/>
                  <w:sz w:val="20"/>
                  <w:szCs w:val="20"/>
                  <w:lang w:val="en-GB"/>
                </w:rPr>
                <w:t>https://kp.transportgas-srbija.com/capacity-allocation</w:t>
              </w:r>
            </w:hyperlink>
            <w:r>
              <w:rPr>
                <w:sz w:val="20"/>
                <w:szCs w:val="20"/>
                <w:lang w:val="en-GB"/>
              </w:rPr>
              <w:t xml:space="preserve"> </w:t>
            </w:r>
          </w:p>
          <w:p w14:paraId="6286CCF7" w14:textId="77777777" w:rsidR="00422A6F" w:rsidRPr="00C336CA" w:rsidRDefault="00422A6F" w:rsidP="00422A6F">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0"/>
                <w:szCs w:val="20"/>
                <w:lang w:val="en-GB"/>
              </w:rPr>
            </w:pPr>
            <w:hyperlink r:id="rId14" w:history="1">
              <w:r w:rsidRPr="004A24BF">
                <w:rPr>
                  <w:rStyle w:val="Hyperlink"/>
                  <w:sz w:val="20"/>
                  <w:szCs w:val="20"/>
                  <w:lang w:val="en-GB"/>
                </w:rPr>
                <w:t>https://kp.transportgas-srbija.com/OfferView</w:t>
              </w:r>
            </w:hyperlink>
            <w:r>
              <w:rPr>
                <w:sz w:val="20"/>
                <w:szCs w:val="20"/>
                <w:lang w:val="en-GB"/>
              </w:rPr>
              <w:t xml:space="preserve"> </w:t>
            </w:r>
            <w:r w:rsidRPr="00C336CA">
              <w:rPr>
                <w:sz w:val="20"/>
                <w:szCs w:val="20"/>
                <w:lang w:val="en-GB"/>
              </w:rPr>
              <w:t xml:space="preserve"> </w:t>
            </w:r>
            <w:r>
              <w:rPr>
                <w:sz w:val="20"/>
                <w:szCs w:val="20"/>
                <w:lang w:val="en-GB"/>
              </w:rPr>
              <w:t xml:space="preserve"> </w:t>
            </w:r>
            <w:r w:rsidRPr="00C336CA">
              <w:rPr>
                <w:sz w:val="20"/>
                <w:szCs w:val="20"/>
                <w:lang w:val="en-GB"/>
              </w:rPr>
              <w:t xml:space="preserve"> </w:t>
            </w:r>
          </w:p>
          <w:p w14:paraId="68720DCC" w14:textId="77777777" w:rsidR="00422A6F" w:rsidRPr="002C702E" w:rsidRDefault="00422A6F" w:rsidP="009C6824">
            <w:pPr>
              <w:pStyle w:val="ListParagraph"/>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7A8844CA" w14:textId="77777777" w:rsidR="00422A6F" w:rsidRPr="002C702E"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p>
          <w:p w14:paraId="58C3F8FC" w14:textId="77777777" w:rsidR="00422A6F"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1) </w:t>
            </w:r>
            <w:proofErr w:type="gramStart"/>
            <w:r>
              <w:rPr>
                <w:sz w:val="20"/>
                <w:szCs w:val="20"/>
                <w:lang w:val="en-GB"/>
              </w:rPr>
              <w:t>November,</w:t>
            </w:r>
            <w:proofErr w:type="gramEnd"/>
            <w:r>
              <w:rPr>
                <w:sz w:val="20"/>
                <w:szCs w:val="20"/>
                <w:lang w:val="en-GB"/>
              </w:rPr>
              <w:t xml:space="preserve"> 2024</w:t>
            </w:r>
          </w:p>
          <w:p w14:paraId="7133C245" w14:textId="77777777" w:rsidR="00422A6F"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2) </w:t>
            </w:r>
            <w:proofErr w:type="gramStart"/>
            <w:r>
              <w:rPr>
                <w:sz w:val="20"/>
                <w:szCs w:val="20"/>
                <w:lang w:val="en-GB"/>
              </w:rPr>
              <w:t>November,</w:t>
            </w:r>
            <w:proofErr w:type="gramEnd"/>
            <w:r>
              <w:rPr>
                <w:sz w:val="20"/>
                <w:szCs w:val="20"/>
                <w:lang w:val="en-GB"/>
              </w:rPr>
              <w:t xml:space="preserve"> 2025</w:t>
            </w:r>
          </w:p>
          <w:p w14:paraId="69B0D264" w14:textId="77777777" w:rsidR="00422A6F"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3) </w:t>
            </w:r>
            <w:proofErr w:type="gramStart"/>
            <w:r>
              <w:rPr>
                <w:sz w:val="20"/>
                <w:szCs w:val="20"/>
                <w:lang w:val="en-GB"/>
              </w:rPr>
              <w:t>August,</w:t>
            </w:r>
            <w:proofErr w:type="gramEnd"/>
            <w:r>
              <w:rPr>
                <w:sz w:val="20"/>
                <w:szCs w:val="20"/>
                <w:lang w:val="en-GB"/>
              </w:rPr>
              <w:t xml:space="preserve"> 2024.</w:t>
            </w:r>
          </w:p>
          <w:p w14:paraId="3F8433CC" w14:textId="77777777" w:rsidR="00422A6F" w:rsidRPr="002C702E"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4) </w:t>
            </w:r>
            <w:proofErr w:type="gramStart"/>
            <w:r>
              <w:rPr>
                <w:sz w:val="20"/>
                <w:szCs w:val="20"/>
                <w:lang w:val="en-GB"/>
              </w:rPr>
              <w:t>September,</w:t>
            </w:r>
            <w:proofErr w:type="gramEnd"/>
            <w:r>
              <w:rPr>
                <w:sz w:val="20"/>
                <w:szCs w:val="20"/>
                <w:lang w:val="en-GB"/>
              </w:rPr>
              <w:t xml:space="preserve"> 2024.</w:t>
            </w:r>
          </w:p>
          <w:p w14:paraId="4DC40169" w14:textId="56E3AD12" w:rsidR="00422A6F"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4) </w:t>
            </w:r>
            <w:proofErr w:type="gramStart"/>
            <w:r>
              <w:rPr>
                <w:sz w:val="20"/>
                <w:szCs w:val="20"/>
                <w:lang w:val="en-GB"/>
              </w:rPr>
              <w:t>January,</w:t>
            </w:r>
            <w:proofErr w:type="gramEnd"/>
            <w:r>
              <w:rPr>
                <w:sz w:val="20"/>
                <w:szCs w:val="20"/>
                <w:lang w:val="en-GB"/>
              </w:rPr>
              <w:t xml:space="preserve"> 2025.</w:t>
            </w:r>
          </w:p>
          <w:p w14:paraId="7376ECFD" w14:textId="77736154" w:rsidR="00422A6F"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5) </w:t>
            </w:r>
            <w:proofErr w:type="gramStart"/>
            <w:r>
              <w:rPr>
                <w:sz w:val="20"/>
                <w:szCs w:val="20"/>
                <w:lang w:val="en-GB"/>
              </w:rPr>
              <w:t>February,</w:t>
            </w:r>
            <w:proofErr w:type="gramEnd"/>
            <w:r>
              <w:rPr>
                <w:sz w:val="20"/>
                <w:szCs w:val="20"/>
                <w:lang w:val="en-GB"/>
              </w:rPr>
              <w:t xml:space="preserve"> 2025.</w:t>
            </w:r>
          </w:p>
          <w:p w14:paraId="346E8991" w14:textId="2069D2E5" w:rsidR="00422A6F"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6) </w:t>
            </w:r>
            <w:proofErr w:type="gramStart"/>
            <w:r>
              <w:rPr>
                <w:sz w:val="20"/>
                <w:szCs w:val="20"/>
                <w:lang w:val="en-GB"/>
              </w:rPr>
              <w:t>December,</w:t>
            </w:r>
            <w:proofErr w:type="gramEnd"/>
            <w:r>
              <w:rPr>
                <w:sz w:val="20"/>
                <w:szCs w:val="20"/>
                <w:lang w:val="en-GB"/>
              </w:rPr>
              <w:t xml:space="preserve"> 2025.</w:t>
            </w:r>
          </w:p>
          <w:p w14:paraId="0FA0497C" w14:textId="3B7C138C" w:rsidR="00422A6F" w:rsidRPr="002C702E" w:rsidRDefault="00422A6F" w:rsidP="00422A6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7) - 8) </w:t>
            </w:r>
            <w:r w:rsidRPr="00C336CA">
              <w:rPr>
                <w:sz w:val="20"/>
                <w:szCs w:val="20"/>
                <w:lang w:val="en-GB"/>
              </w:rPr>
              <w:t xml:space="preserve">Accessed 26 </w:t>
            </w:r>
            <w:proofErr w:type="gramStart"/>
            <w:r w:rsidRPr="00C336CA">
              <w:rPr>
                <w:sz w:val="20"/>
                <w:szCs w:val="20"/>
                <w:lang w:val="en-GB"/>
              </w:rPr>
              <w:t>February,</w:t>
            </w:r>
            <w:proofErr w:type="gramEnd"/>
            <w:r w:rsidRPr="00C336CA">
              <w:rPr>
                <w:sz w:val="20"/>
                <w:szCs w:val="20"/>
                <w:lang w:val="en-GB"/>
              </w:rPr>
              <w:t xml:space="preserve"> 2026</w:t>
            </w:r>
            <w:r>
              <w:rPr>
                <w:sz w:val="20"/>
                <w:szCs w:val="20"/>
                <w:lang w:val="en-GB"/>
              </w:rPr>
              <w:t>.</w:t>
            </w:r>
          </w:p>
        </w:tc>
      </w:tr>
      <w:tr w:rsidR="00422A6F" w:rsidRPr="002C702E" w14:paraId="2E4D7680"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B70C4EA" w14:textId="77777777" w:rsidR="00422A6F" w:rsidRPr="002C702E" w:rsidRDefault="00422A6F"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203F0FCA" w14:textId="77777777" w:rsidR="00422A6F" w:rsidRPr="006D16D1"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445AA">
              <w:rPr>
                <w:sz w:val="20"/>
                <w:szCs w:val="20"/>
              </w:rPr>
              <w:t xml:space="preserve">The presence of a published network code and operational rules </w:t>
            </w:r>
            <w:proofErr w:type="gramStart"/>
            <w:r w:rsidRPr="00D445AA">
              <w:rPr>
                <w:sz w:val="20"/>
                <w:szCs w:val="20"/>
              </w:rPr>
              <w:t>suggests</w:t>
            </w:r>
            <w:proofErr w:type="gramEnd"/>
            <w:r w:rsidRPr="00D445AA">
              <w:rPr>
                <w:sz w:val="20"/>
                <w:szCs w:val="20"/>
              </w:rPr>
              <w:t xml:space="preserve"> formal alignment with EU-style network code frameworks, and the Energy Community Secretariat notes that certain documents are “largely compliant” with key EU regulations (e.g., CAM and balancing-related regulations) in its Serbia 2025 report. Yet, quality against EU accession standards hinges on enforceable, non-discriminatory access “at all gas entry points,” which the European Commission </w:t>
            </w:r>
            <w:r>
              <w:rPr>
                <w:sz w:val="20"/>
                <w:szCs w:val="20"/>
              </w:rPr>
              <w:t>marks as still</w:t>
            </w:r>
            <w:r w:rsidRPr="00D445AA">
              <w:rPr>
                <w:sz w:val="20"/>
                <w:szCs w:val="20"/>
              </w:rPr>
              <w:t xml:space="preserve"> pending. </w:t>
            </w:r>
            <w:r>
              <w:rPr>
                <w:sz w:val="20"/>
                <w:szCs w:val="20"/>
              </w:rPr>
              <w:t xml:space="preserve">Furthermore, the participation in the Regional Booking Platform has not begun yet, but it is expected soon. </w:t>
            </w:r>
          </w:p>
        </w:tc>
      </w:tr>
    </w:tbl>
    <w:p w14:paraId="6CC7D63A" w14:textId="77777777" w:rsidR="00422A6F" w:rsidRPr="002C702E" w:rsidRDefault="00422A6F" w:rsidP="00422A6F">
      <w:pPr>
        <w:rPr>
          <w:lang w:val="en-GB"/>
        </w:rPr>
      </w:pPr>
    </w:p>
    <w:p w14:paraId="49726515" w14:textId="77777777" w:rsidR="00422A6F" w:rsidRPr="002C702E" w:rsidRDefault="00422A6F" w:rsidP="00422A6F">
      <w:pPr>
        <w:pStyle w:val="Heading1"/>
        <w:numPr>
          <w:ilvl w:val="0"/>
          <w:numId w:val="4"/>
        </w:numPr>
        <w:rPr>
          <w:lang w:val="en-GB"/>
        </w:rPr>
      </w:pPr>
      <w:r w:rsidRPr="002C702E">
        <w:rPr>
          <w:lang w:val="en-GB"/>
        </w:rPr>
        <w:lastRenderedPageBreak/>
        <w:t>Final assessment</w:t>
      </w:r>
    </w:p>
    <w:p w14:paraId="449CB3C4" w14:textId="77777777" w:rsidR="00422A6F" w:rsidRPr="002C702E" w:rsidRDefault="00422A6F" w:rsidP="00422A6F">
      <w:pPr>
        <w:rPr>
          <w:lang w:val="en-GB"/>
        </w:rPr>
      </w:pPr>
    </w:p>
    <w:tbl>
      <w:tblPr>
        <w:tblStyle w:val="GridTable1Light"/>
        <w:tblW w:w="0" w:type="auto"/>
        <w:tblLook w:val="0480" w:firstRow="0" w:lastRow="0" w:firstColumn="1" w:lastColumn="0" w:noHBand="0" w:noVBand="1"/>
      </w:tblPr>
      <w:tblGrid>
        <w:gridCol w:w="2263"/>
        <w:gridCol w:w="6753"/>
      </w:tblGrid>
      <w:tr w:rsidR="00422A6F" w:rsidRPr="002C702E" w14:paraId="5DE5ACE7"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AA93793" w14:textId="47527482" w:rsidR="00422A6F" w:rsidRPr="002C702E" w:rsidRDefault="00422A6F" w:rsidP="009C6824">
            <w:pPr>
              <w:spacing w:before="60" w:after="60"/>
              <w:rPr>
                <w:sz w:val="20"/>
                <w:szCs w:val="20"/>
                <w:lang w:val="en-GB"/>
              </w:rPr>
            </w:pPr>
            <w:r w:rsidRPr="002C702E">
              <w:rPr>
                <w:sz w:val="20"/>
                <w:szCs w:val="20"/>
                <w:lang w:val="en-GB"/>
              </w:rPr>
              <w:t>Assess formal achievement</w:t>
            </w:r>
          </w:p>
        </w:tc>
        <w:tc>
          <w:tcPr>
            <w:tcW w:w="6753" w:type="dxa"/>
          </w:tcPr>
          <w:p w14:paraId="3B2036DE" w14:textId="77777777" w:rsidR="00422A6F" w:rsidRPr="002C702E"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Not achieved</w:t>
            </w:r>
          </w:p>
        </w:tc>
      </w:tr>
      <w:tr w:rsidR="00422A6F" w:rsidRPr="002C702E" w14:paraId="5B2A7EFF"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F26F3FB" w14:textId="77777777" w:rsidR="00422A6F" w:rsidRPr="002C702E" w:rsidRDefault="00422A6F" w:rsidP="009C6824">
            <w:pPr>
              <w:spacing w:before="60" w:after="60"/>
              <w:rPr>
                <w:sz w:val="20"/>
                <w:szCs w:val="20"/>
                <w:lang w:val="en-GB"/>
              </w:rPr>
            </w:pPr>
            <w:r w:rsidRPr="002C702E">
              <w:rPr>
                <w:sz w:val="20"/>
                <w:szCs w:val="20"/>
                <w:lang w:val="en-GB"/>
              </w:rPr>
              <w:t>Elaboration of final assessment</w:t>
            </w:r>
          </w:p>
        </w:tc>
        <w:tc>
          <w:tcPr>
            <w:tcW w:w="6753" w:type="dxa"/>
          </w:tcPr>
          <w:p w14:paraId="246ACAC3" w14:textId="77777777" w:rsidR="00422A6F" w:rsidRDefault="00422A6F" w:rsidP="009C6824">
            <w:pPr>
              <w:spacing w:before="120" w:after="120"/>
              <w:jc w:val="both"/>
              <w:cnfStyle w:val="000000000000" w:firstRow="0" w:lastRow="0" w:firstColumn="0" w:lastColumn="0" w:oddVBand="0" w:evenVBand="0" w:oddHBand="0" w:evenHBand="0" w:firstRowFirstColumn="0" w:firstRowLastColumn="0" w:lastRowFirstColumn="0" w:lastRowLastColumn="0"/>
              <w:rPr>
                <w:rFonts w:ascii="Aptos" w:hAnsi="Aptos" w:cs="Aptos"/>
                <w:sz w:val="20"/>
                <w:szCs w:val="20"/>
                <w:lang w:val="en-GB"/>
              </w:rPr>
            </w:pPr>
            <w:r w:rsidRPr="008F6977">
              <w:rPr>
                <w:sz w:val="20"/>
                <w:szCs w:val="20"/>
                <w:lang w:val="en-GB"/>
              </w:rPr>
              <w:t>By the end of 2025 there is strong evidence of rulemaking and at least one structured allocation cycle, but multiple authoritative external sources continue to identify lack of effective, non</w:t>
            </w:r>
            <w:r w:rsidRPr="008F6977">
              <w:rPr>
                <w:rFonts w:ascii="Cambria Math" w:hAnsi="Cambria Math" w:cs="Cambria Math"/>
                <w:sz w:val="20"/>
                <w:szCs w:val="20"/>
                <w:lang w:val="en-GB"/>
              </w:rPr>
              <w:t>‑</w:t>
            </w:r>
            <w:r w:rsidRPr="008F6977">
              <w:rPr>
                <w:sz w:val="20"/>
                <w:szCs w:val="20"/>
                <w:lang w:val="en-GB"/>
              </w:rPr>
              <w:t>discriminatory, transparent TPA at interconnection points and signal non</w:t>
            </w:r>
            <w:r w:rsidRPr="008F6977">
              <w:rPr>
                <w:rFonts w:ascii="Cambria Math" w:hAnsi="Cambria Math" w:cs="Cambria Math"/>
                <w:sz w:val="20"/>
                <w:szCs w:val="20"/>
                <w:lang w:val="en-GB"/>
              </w:rPr>
              <w:t>‑</w:t>
            </w:r>
            <w:r w:rsidRPr="008F6977">
              <w:rPr>
                <w:sz w:val="20"/>
                <w:szCs w:val="20"/>
                <w:lang w:val="en-GB"/>
              </w:rPr>
              <w:t xml:space="preserve">offer of capacity by </w:t>
            </w:r>
            <w:proofErr w:type="spellStart"/>
            <w:r w:rsidRPr="008F6977">
              <w:rPr>
                <w:sz w:val="20"/>
                <w:szCs w:val="20"/>
                <w:lang w:val="en-GB"/>
              </w:rPr>
              <w:t>Transportgas</w:t>
            </w:r>
            <w:proofErr w:type="spellEnd"/>
            <w:r w:rsidRPr="008F6977">
              <w:rPr>
                <w:sz w:val="20"/>
                <w:szCs w:val="20"/>
                <w:lang w:val="en-GB"/>
              </w:rPr>
              <w:t xml:space="preserve"> as a TPA failure indicator. This falls short of the step</w:t>
            </w:r>
            <w:r w:rsidRPr="008F6977">
              <w:rPr>
                <w:rFonts w:ascii="Aptos" w:hAnsi="Aptos" w:cs="Aptos"/>
                <w:sz w:val="20"/>
                <w:szCs w:val="20"/>
                <w:lang w:val="en-GB"/>
              </w:rPr>
              <w:t>’</w:t>
            </w:r>
            <w:r w:rsidRPr="008F6977">
              <w:rPr>
                <w:sz w:val="20"/>
                <w:szCs w:val="20"/>
                <w:lang w:val="en-GB"/>
              </w:rPr>
              <w:t xml:space="preserve">s substantive requirement that TPA </w:t>
            </w:r>
            <w:r w:rsidRPr="008F6977">
              <w:rPr>
                <w:rFonts w:ascii="Aptos" w:hAnsi="Aptos" w:cs="Aptos"/>
                <w:sz w:val="20"/>
                <w:szCs w:val="20"/>
                <w:lang w:val="en-GB"/>
              </w:rPr>
              <w:t>“</w:t>
            </w:r>
            <w:r w:rsidRPr="008F6977">
              <w:rPr>
                <w:sz w:val="20"/>
                <w:szCs w:val="20"/>
                <w:lang w:val="en-GB"/>
              </w:rPr>
              <w:t>is in place.</w:t>
            </w:r>
            <w:r w:rsidRPr="008F6977">
              <w:rPr>
                <w:rFonts w:ascii="Aptos" w:hAnsi="Aptos" w:cs="Aptos"/>
                <w:sz w:val="20"/>
                <w:szCs w:val="20"/>
                <w:lang w:val="en-GB"/>
              </w:rPr>
              <w:t>”</w:t>
            </w:r>
            <w:r>
              <w:rPr>
                <w:rFonts w:ascii="Aptos" w:hAnsi="Aptos" w:cs="Aptos"/>
                <w:sz w:val="20"/>
                <w:szCs w:val="20"/>
                <w:lang w:val="en-GB"/>
              </w:rPr>
              <w:t xml:space="preserve"> Participation in the Regional Booking Platform has not commenced, but the operationalization and participation of </w:t>
            </w:r>
            <w:proofErr w:type="spellStart"/>
            <w:r>
              <w:rPr>
                <w:rFonts w:ascii="Aptos" w:hAnsi="Aptos" w:cs="Aptos"/>
                <w:sz w:val="20"/>
                <w:szCs w:val="20"/>
                <w:lang w:val="en-GB"/>
              </w:rPr>
              <w:t>Transportgas</w:t>
            </w:r>
            <w:proofErr w:type="spellEnd"/>
            <w:r>
              <w:rPr>
                <w:rFonts w:ascii="Aptos" w:hAnsi="Aptos" w:cs="Aptos"/>
                <w:sz w:val="20"/>
                <w:szCs w:val="20"/>
                <w:lang w:val="en-GB"/>
              </w:rPr>
              <w:t xml:space="preserve"> </w:t>
            </w:r>
            <w:proofErr w:type="spellStart"/>
            <w:r>
              <w:rPr>
                <w:rFonts w:ascii="Aptos" w:hAnsi="Aptos" w:cs="Aptos"/>
                <w:sz w:val="20"/>
                <w:szCs w:val="20"/>
                <w:lang w:val="en-GB"/>
              </w:rPr>
              <w:t>Srbija</w:t>
            </w:r>
            <w:proofErr w:type="spellEnd"/>
            <w:r>
              <w:rPr>
                <w:rFonts w:ascii="Aptos" w:hAnsi="Aptos" w:cs="Aptos"/>
                <w:sz w:val="20"/>
                <w:szCs w:val="20"/>
                <w:lang w:val="en-GB"/>
              </w:rPr>
              <w:t xml:space="preserve"> is expected in gas year 2026/2027, which should greatly increase TPA. </w:t>
            </w:r>
          </w:p>
          <w:p w14:paraId="2FF167DE" w14:textId="77777777" w:rsidR="00422A6F" w:rsidRPr="003E583F" w:rsidRDefault="00422A6F"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We therefore consider this reform step as </w:t>
            </w:r>
            <w:r w:rsidRPr="001B742E">
              <w:rPr>
                <w:b/>
                <w:bCs/>
                <w:sz w:val="20"/>
                <w:szCs w:val="20"/>
                <w:lang w:val="en-GB"/>
              </w:rPr>
              <w:t>not achieved.</w:t>
            </w:r>
            <w:r>
              <w:rPr>
                <w:sz w:val="20"/>
                <w:szCs w:val="20"/>
                <w:lang w:val="en-GB"/>
              </w:rPr>
              <w:t xml:space="preserve"> </w:t>
            </w:r>
          </w:p>
        </w:tc>
      </w:tr>
    </w:tbl>
    <w:p w14:paraId="0856E431" w14:textId="77777777" w:rsidR="00422A6F" w:rsidRDefault="00422A6F" w:rsidP="00422A6F"/>
    <w:p w14:paraId="087CE054" w14:textId="77777777" w:rsidR="00422A6F" w:rsidRDefault="00422A6F" w:rsidP="00422A6F"/>
    <w:p w14:paraId="4EE4229A"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E98A6" w14:textId="77777777" w:rsidR="00C25D6D" w:rsidRDefault="00C25D6D" w:rsidP="00422A6F">
      <w:r>
        <w:separator/>
      </w:r>
    </w:p>
  </w:endnote>
  <w:endnote w:type="continuationSeparator" w:id="0">
    <w:p w14:paraId="397E95EA" w14:textId="77777777" w:rsidR="00C25D6D" w:rsidRDefault="00C25D6D" w:rsidP="0042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E2901" w14:textId="77777777" w:rsidR="00C25D6D" w:rsidRDefault="00C25D6D" w:rsidP="00422A6F">
      <w:r>
        <w:separator/>
      </w:r>
    </w:p>
  </w:footnote>
  <w:footnote w:type="continuationSeparator" w:id="0">
    <w:p w14:paraId="4E553D9A" w14:textId="77777777" w:rsidR="00C25D6D" w:rsidRDefault="00C25D6D" w:rsidP="00422A6F">
      <w:r>
        <w:continuationSeparator/>
      </w:r>
    </w:p>
  </w:footnote>
  <w:footnote w:id="1">
    <w:p w14:paraId="49FBB100" w14:textId="77777777" w:rsidR="00422A6F" w:rsidRPr="00186258" w:rsidRDefault="00422A6F" w:rsidP="00422A6F">
      <w:pPr>
        <w:pStyle w:val="FootnoteText"/>
      </w:pPr>
      <w:r>
        <w:rPr>
          <w:rStyle w:val="FootnoteReference"/>
        </w:rPr>
        <w:footnoteRef/>
      </w:r>
      <w:r>
        <w:t xml:space="preserve"> </w:t>
      </w:r>
      <w:hyperlink r:id="rId1" w:history="1">
        <w:r w:rsidRPr="00DD5194">
          <w:rPr>
            <w:rStyle w:val="Hyperlink"/>
          </w:rPr>
          <w:t>https://www.paragraf.rs/propisi/zakon_o_energetici.html</w:t>
        </w:r>
      </w:hyperlink>
      <w:r>
        <w:t xml:space="preserve"> (accessed on 26 February, 2026).</w:t>
      </w:r>
    </w:p>
  </w:footnote>
  <w:footnote w:id="2">
    <w:p w14:paraId="57C2220B" w14:textId="77777777" w:rsidR="00422A6F" w:rsidRPr="00186258" w:rsidRDefault="00422A6F" w:rsidP="00422A6F">
      <w:pPr>
        <w:pStyle w:val="FootnoteText"/>
      </w:pPr>
      <w:r>
        <w:rPr>
          <w:rStyle w:val="FootnoteReference"/>
        </w:rPr>
        <w:footnoteRef/>
      </w:r>
      <w:r>
        <w:t xml:space="preserve"> </w:t>
      </w:r>
      <w:hyperlink r:id="rId2" w:history="1">
        <w:r w:rsidRPr="00DD5194">
          <w:rPr>
            <w:rStyle w:val="Hyperlink"/>
          </w:rPr>
          <w:t>https://api.transportgas-srbija.rs/assets/pravila-o-radu-transportnog-sistema-prirodnog-gasa-transportgas-srbija-doo-novi-sad.pdf</w:t>
        </w:r>
      </w:hyperlink>
      <w:r>
        <w:rPr>
          <w:lang w:val="sr-Cyrl-RS"/>
        </w:rPr>
        <w:t xml:space="preserve"> </w:t>
      </w:r>
      <w:r>
        <w:t xml:space="preserve">(accessed on 26 </w:t>
      </w:r>
      <w:r>
        <w:t>February, 2026).</w:t>
      </w:r>
    </w:p>
  </w:footnote>
  <w:footnote w:id="3">
    <w:p w14:paraId="4DA0E00E" w14:textId="77777777" w:rsidR="00422A6F" w:rsidRDefault="00422A6F" w:rsidP="00422A6F">
      <w:pPr>
        <w:pStyle w:val="FootnoteText"/>
      </w:pPr>
      <w:r>
        <w:rPr>
          <w:rStyle w:val="FootnoteReference"/>
        </w:rPr>
        <w:footnoteRef/>
      </w:r>
      <w:r>
        <w:t xml:space="preserve"> </w:t>
      </w:r>
      <w:hyperlink r:id="rId3" w:history="1">
        <w:r w:rsidRPr="00DD5194">
          <w:rPr>
            <w:rStyle w:val="Hyperlink"/>
          </w:rPr>
          <w:t>https://api.transportgas-srbija.rs/assets/odluka-o-izmenama-i-dopunama-pravila-o-radu-transp.-sist.-prir.-gasa.pdf</w:t>
        </w:r>
      </w:hyperlink>
      <w:r>
        <w:t xml:space="preserve"> (accessed on 26 </w:t>
      </w:r>
      <w:r>
        <w:t>February, 2026).</w:t>
      </w:r>
    </w:p>
  </w:footnote>
  <w:footnote w:id="4">
    <w:p w14:paraId="2FC04DAE" w14:textId="77777777" w:rsidR="00422A6F" w:rsidRDefault="00422A6F" w:rsidP="00422A6F">
      <w:pPr>
        <w:pStyle w:val="FootnoteText"/>
      </w:pPr>
      <w:r>
        <w:rPr>
          <w:rStyle w:val="FootnoteReference"/>
        </w:rPr>
        <w:footnoteRef/>
      </w:r>
      <w:r>
        <w:t xml:space="preserve"> </w:t>
      </w:r>
      <w:hyperlink r:id="rId4" w:history="1">
        <w:r w:rsidRPr="00DD5194">
          <w:rPr>
            <w:rStyle w:val="Hyperlink"/>
          </w:rPr>
          <w:t>https://api.transportgas-srbija.rs/assets/odluka-saveta-agencije-za-energetiku-republike-srbije-odavanju-saglasnosti-na-pravila-o-radu-(1).pdf</w:t>
        </w:r>
      </w:hyperlink>
      <w:r>
        <w:t xml:space="preserve"> (accessed on 26 </w:t>
      </w:r>
      <w:r>
        <w:t>February, 2026).</w:t>
      </w:r>
    </w:p>
  </w:footnote>
  <w:footnote w:id="5">
    <w:p w14:paraId="7F70E8D2" w14:textId="77777777" w:rsidR="00422A6F" w:rsidRDefault="00422A6F" w:rsidP="00422A6F">
      <w:pPr>
        <w:pStyle w:val="FootnoteText"/>
      </w:pPr>
      <w:r>
        <w:rPr>
          <w:rStyle w:val="FootnoteReference"/>
        </w:rPr>
        <w:footnoteRef/>
      </w:r>
      <w:r>
        <w:t xml:space="preserve"> </w:t>
      </w:r>
      <w:hyperlink r:id="rId5" w:history="1">
        <w:r w:rsidRPr="00DD5194">
          <w:rPr>
            <w:rStyle w:val="Hyperlink"/>
          </w:rPr>
          <w:t>https://kp.transportgas-srbija.com/capacity-allocation</w:t>
        </w:r>
      </w:hyperlink>
      <w:r>
        <w:t xml:space="preserve"> (accessed on 26 </w:t>
      </w:r>
      <w:r>
        <w:t>February, 2026).</w:t>
      </w:r>
    </w:p>
  </w:footnote>
  <w:footnote w:id="6">
    <w:p w14:paraId="29A0AD9C" w14:textId="77777777" w:rsidR="00422A6F" w:rsidRDefault="00422A6F" w:rsidP="00422A6F">
      <w:pPr>
        <w:pStyle w:val="FootnoteText"/>
      </w:pPr>
      <w:r>
        <w:rPr>
          <w:rStyle w:val="FootnoteReference"/>
        </w:rPr>
        <w:footnoteRef/>
      </w:r>
      <w:r>
        <w:t xml:space="preserve"> </w:t>
      </w:r>
      <w:hyperlink r:id="rId6" w:history="1">
        <w:r w:rsidRPr="00DD5194">
          <w:rPr>
            <w:rStyle w:val="Hyperlink"/>
          </w:rPr>
          <w:t>https://www.energy-community.org/dam/jcr:5b4ff2d5-5672-4989-ad81-d7fd9e27a7f7/Serbia_IR25CP.pdf</w:t>
        </w:r>
      </w:hyperlink>
      <w:r>
        <w:t xml:space="preserve"> (accessed 26 </w:t>
      </w:r>
      <w:r>
        <w:t>February, 2026).</w:t>
      </w:r>
    </w:p>
  </w:footnote>
  <w:footnote w:id="7">
    <w:p w14:paraId="1431141D" w14:textId="77777777" w:rsidR="00422A6F" w:rsidRDefault="00422A6F" w:rsidP="00422A6F">
      <w:pPr>
        <w:pStyle w:val="FootnoteText"/>
      </w:pPr>
      <w:r>
        <w:rPr>
          <w:rStyle w:val="FootnoteReference"/>
        </w:rPr>
        <w:footnoteRef/>
      </w:r>
      <w:r>
        <w:t xml:space="preserve"> </w:t>
      </w:r>
      <w:hyperlink r:id="rId7" w:history="1">
        <w:r w:rsidRPr="00DD5194">
          <w:rPr>
            <w:rStyle w:val="Hyperlink"/>
          </w:rPr>
          <w:t>https://www.energy-community.org/dam/jcr:7c34a562-af01-474e-bbad-6f6fa609fe0c/ECRB%20Report%20on%20contractual%20congestions%202025_approved.pdf</w:t>
        </w:r>
      </w:hyperlink>
      <w:r>
        <w:t xml:space="preserve"> (accessed on 26 </w:t>
      </w:r>
      <w:r>
        <w:t>February, 2026).</w:t>
      </w:r>
    </w:p>
  </w:footnote>
  <w:footnote w:id="8">
    <w:p w14:paraId="39DD593A" w14:textId="77777777" w:rsidR="00422A6F" w:rsidRDefault="00422A6F" w:rsidP="00422A6F">
      <w:pPr>
        <w:pStyle w:val="FootnoteText"/>
      </w:pPr>
      <w:r>
        <w:rPr>
          <w:rStyle w:val="FootnoteReference"/>
        </w:rPr>
        <w:footnoteRef/>
      </w:r>
      <w:r>
        <w:t xml:space="preserve"> </w:t>
      </w:r>
      <w:hyperlink r:id="rId8" w:history="1">
        <w:r w:rsidRPr="00DD5194">
          <w:rPr>
            <w:rStyle w:val="Hyperlink"/>
          </w:rPr>
          <w:t>https://gastrans.rs/about-the-project/%D0%B5vents/?lang=en</w:t>
        </w:r>
      </w:hyperlink>
      <w:r>
        <w:t xml:space="preserve"> (accessed on 26 </w:t>
      </w:r>
      <w:r>
        <w:t>February, 2026).</w:t>
      </w:r>
    </w:p>
  </w:footnote>
  <w:footnote w:id="9">
    <w:p w14:paraId="7BB4E4DA" w14:textId="77777777" w:rsidR="00422A6F" w:rsidRDefault="00422A6F" w:rsidP="00422A6F">
      <w:pPr>
        <w:pStyle w:val="FootnoteText"/>
      </w:pPr>
      <w:r>
        <w:rPr>
          <w:rStyle w:val="FootnoteReference"/>
        </w:rPr>
        <w:footnoteRef/>
      </w:r>
      <w:r>
        <w:t xml:space="preserve"> </w:t>
      </w:r>
      <w:hyperlink r:id="rId9" w:history="1">
        <w:r w:rsidRPr="00DD5194">
          <w:rPr>
            <w:rStyle w:val="Hyperlink"/>
          </w:rPr>
          <w:t>https://www.transportgas-srbija.rs/vesti/obavestenje-o-zapocinjanju-javnix-konsultacija-vezano-za-nacrt-pravila-o-radu-transportnog-sistema-transportgas-srbija-doo-i-nacrta-modela-ugovora-o-transportu-prirodnog-gasa</w:t>
        </w:r>
      </w:hyperlink>
      <w:r>
        <w:t xml:space="preserve">; Report of the results of public consultations is available here: </w:t>
      </w:r>
      <w:hyperlink r:id="rId10" w:history="1">
        <w:r w:rsidRPr="00DD5194">
          <w:rPr>
            <w:rStyle w:val="Hyperlink"/>
          </w:rPr>
          <w:t>https://api.transportgas-srbija.rs/assets/izvestaj-sa-javne-konsultacije-vezane-za-nacrt-pravila-o-radu-transportnog-sistema-transportgas-srbija.doc</w:t>
        </w:r>
      </w:hyperlink>
      <w:r>
        <w:t xml:space="preserve"> (accessed on 26 February, 2026).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397C"/>
    <w:multiLevelType w:val="hybridMultilevel"/>
    <w:tmpl w:val="0D1EBE1E"/>
    <w:lvl w:ilvl="0" w:tplc="464C3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B0B6D"/>
    <w:multiLevelType w:val="hybridMultilevel"/>
    <w:tmpl w:val="1620236A"/>
    <w:lvl w:ilvl="0" w:tplc="AF3C30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564CB1"/>
    <w:multiLevelType w:val="multilevel"/>
    <w:tmpl w:val="59A8D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4"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30462C"/>
    <w:multiLevelType w:val="hybridMultilevel"/>
    <w:tmpl w:val="6AA4B3B0"/>
    <w:lvl w:ilvl="0" w:tplc="4B4ADE1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2586693">
    <w:abstractNumId w:val="4"/>
  </w:num>
  <w:num w:numId="2" w16cid:durableId="1488397419">
    <w:abstractNumId w:val="5"/>
  </w:num>
  <w:num w:numId="3" w16cid:durableId="277101163">
    <w:abstractNumId w:val="2"/>
  </w:num>
  <w:num w:numId="4" w16cid:durableId="505436892">
    <w:abstractNumId w:val="0"/>
  </w:num>
  <w:num w:numId="5" w16cid:durableId="1721005599">
    <w:abstractNumId w:val="3"/>
  </w:num>
  <w:num w:numId="6" w16cid:durableId="134153285">
    <w:abstractNumId w:val="1"/>
  </w:num>
  <w:num w:numId="7" w16cid:durableId="17230920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A6F"/>
    <w:rsid w:val="001B742E"/>
    <w:rsid w:val="003B6E3A"/>
    <w:rsid w:val="00422A6F"/>
    <w:rsid w:val="004332F5"/>
    <w:rsid w:val="00B36266"/>
    <w:rsid w:val="00C25D6D"/>
    <w:rsid w:val="00C42CA6"/>
    <w:rsid w:val="00E76CE8"/>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059C4E2E"/>
  <w15:chartTrackingRefBased/>
  <w15:docId w15:val="{6F7C29EC-2BED-E345-BC59-DF329518F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A6F"/>
    <w:rPr>
      <w:lang w:val="en-US"/>
    </w:rPr>
  </w:style>
  <w:style w:type="paragraph" w:styleId="Heading1">
    <w:name w:val="heading 1"/>
    <w:basedOn w:val="Normal"/>
    <w:next w:val="Normal"/>
    <w:link w:val="Heading1Char"/>
    <w:uiPriority w:val="9"/>
    <w:qFormat/>
    <w:rsid w:val="00422A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2A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2A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2A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2A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2A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2A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2A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2A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A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2A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2A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2A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2A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2A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2A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2A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2A6F"/>
    <w:rPr>
      <w:rFonts w:eastAsiaTheme="majorEastAsia" w:cstheme="majorBidi"/>
      <w:color w:val="272727" w:themeColor="text1" w:themeTint="D8"/>
    </w:rPr>
  </w:style>
  <w:style w:type="paragraph" w:styleId="Title">
    <w:name w:val="Title"/>
    <w:basedOn w:val="Normal"/>
    <w:next w:val="Normal"/>
    <w:link w:val="TitleChar"/>
    <w:uiPriority w:val="10"/>
    <w:qFormat/>
    <w:rsid w:val="00422A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2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2A6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2A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2A6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22A6F"/>
    <w:rPr>
      <w:i/>
      <w:iCs/>
      <w:color w:val="404040" w:themeColor="text1" w:themeTint="BF"/>
    </w:rPr>
  </w:style>
  <w:style w:type="paragraph" w:styleId="ListParagraph">
    <w:name w:val="List Paragraph"/>
    <w:basedOn w:val="Normal"/>
    <w:uiPriority w:val="34"/>
    <w:qFormat/>
    <w:rsid w:val="00422A6F"/>
    <w:pPr>
      <w:ind w:left="720"/>
      <w:contextualSpacing/>
    </w:pPr>
  </w:style>
  <w:style w:type="character" w:styleId="IntenseEmphasis">
    <w:name w:val="Intense Emphasis"/>
    <w:basedOn w:val="DefaultParagraphFont"/>
    <w:uiPriority w:val="21"/>
    <w:qFormat/>
    <w:rsid w:val="00422A6F"/>
    <w:rPr>
      <w:i/>
      <w:iCs/>
      <w:color w:val="0F4761" w:themeColor="accent1" w:themeShade="BF"/>
    </w:rPr>
  </w:style>
  <w:style w:type="paragraph" w:styleId="IntenseQuote">
    <w:name w:val="Intense Quote"/>
    <w:basedOn w:val="Normal"/>
    <w:next w:val="Normal"/>
    <w:link w:val="IntenseQuoteChar"/>
    <w:uiPriority w:val="30"/>
    <w:qFormat/>
    <w:rsid w:val="00422A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2A6F"/>
    <w:rPr>
      <w:i/>
      <w:iCs/>
      <w:color w:val="0F4761" w:themeColor="accent1" w:themeShade="BF"/>
    </w:rPr>
  </w:style>
  <w:style w:type="character" w:styleId="IntenseReference">
    <w:name w:val="Intense Reference"/>
    <w:basedOn w:val="DefaultParagraphFont"/>
    <w:uiPriority w:val="32"/>
    <w:qFormat/>
    <w:rsid w:val="00422A6F"/>
    <w:rPr>
      <w:b/>
      <w:bCs/>
      <w:smallCaps/>
      <w:color w:val="0F4761" w:themeColor="accent1" w:themeShade="BF"/>
      <w:spacing w:val="5"/>
    </w:rPr>
  </w:style>
  <w:style w:type="table" w:styleId="GridTable1Light">
    <w:name w:val="Grid Table 1 Light"/>
    <w:basedOn w:val="TableNormal"/>
    <w:uiPriority w:val="46"/>
    <w:rsid w:val="00422A6F"/>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422A6F"/>
    <w:rPr>
      <w:sz w:val="20"/>
      <w:szCs w:val="20"/>
    </w:rPr>
  </w:style>
  <w:style w:type="character" w:customStyle="1" w:styleId="FootnoteTextChar">
    <w:name w:val="Footnote Text Char"/>
    <w:basedOn w:val="DefaultParagraphFont"/>
    <w:link w:val="FootnoteText"/>
    <w:uiPriority w:val="99"/>
    <w:semiHidden/>
    <w:rsid w:val="00422A6F"/>
    <w:rPr>
      <w:sz w:val="20"/>
      <w:szCs w:val="20"/>
      <w:lang w:val="en-US"/>
    </w:rPr>
  </w:style>
  <w:style w:type="character" w:styleId="FootnoteReference">
    <w:name w:val="footnote reference"/>
    <w:basedOn w:val="DefaultParagraphFont"/>
    <w:uiPriority w:val="99"/>
    <w:semiHidden/>
    <w:unhideWhenUsed/>
    <w:rsid w:val="00422A6F"/>
    <w:rPr>
      <w:vertAlign w:val="superscript"/>
    </w:rPr>
  </w:style>
  <w:style w:type="character" w:styleId="Hyperlink">
    <w:name w:val="Hyperlink"/>
    <w:basedOn w:val="DefaultParagraphFont"/>
    <w:uiPriority w:val="99"/>
    <w:unhideWhenUsed/>
    <w:rsid w:val="00422A6F"/>
    <w:rPr>
      <w:color w:val="467886" w:themeColor="hyperlink"/>
      <w:u w:val="single"/>
    </w:rPr>
  </w:style>
  <w:style w:type="paragraph" w:customStyle="1" w:styleId="Compact">
    <w:name w:val="Compact"/>
    <w:basedOn w:val="BodyText"/>
    <w:qFormat/>
    <w:rsid w:val="00422A6F"/>
    <w:pPr>
      <w:spacing w:before="36" w:after="36"/>
    </w:pPr>
    <w:rPr>
      <w:kern w:val="0"/>
      <w:lang w:val="en"/>
      <w14:ligatures w14:val="none"/>
    </w:rPr>
  </w:style>
  <w:style w:type="character" w:styleId="CommentReference">
    <w:name w:val="annotation reference"/>
    <w:basedOn w:val="DefaultParagraphFont"/>
    <w:uiPriority w:val="99"/>
    <w:semiHidden/>
    <w:unhideWhenUsed/>
    <w:rsid w:val="00422A6F"/>
    <w:rPr>
      <w:sz w:val="16"/>
      <w:szCs w:val="16"/>
    </w:rPr>
  </w:style>
  <w:style w:type="paragraph" w:styleId="CommentText">
    <w:name w:val="annotation text"/>
    <w:basedOn w:val="Normal"/>
    <w:link w:val="CommentTextChar"/>
    <w:uiPriority w:val="99"/>
    <w:unhideWhenUsed/>
    <w:rsid w:val="00422A6F"/>
    <w:rPr>
      <w:sz w:val="20"/>
      <w:szCs w:val="20"/>
    </w:rPr>
  </w:style>
  <w:style w:type="character" w:customStyle="1" w:styleId="CommentTextChar">
    <w:name w:val="Comment Text Char"/>
    <w:basedOn w:val="DefaultParagraphFont"/>
    <w:link w:val="CommentText"/>
    <w:uiPriority w:val="99"/>
    <w:rsid w:val="00422A6F"/>
    <w:rPr>
      <w:sz w:val="20"/>
      <w:szCs w:val="20"/>
      <w:lang w:val="en-US"/>
    </w:rPr>
  </w:style>
  <w:style w:type="paragraph" w:styleId="BodyText">
    <w:name w:val="Body Text"/>
    <w:basedOn w:val="Normal"/>
    <w:link w:val="BodyTextChar"/>
    <w:uiPriority w:val="99"/>
    <w:semiHidden/>
    <w:unhideWhenUsed/>
    <w:rsid w:val="00422A6F"/>
    <w:pPr>
      <w:spacing w:after="120"/>
    </w:pPr>
  </w:style>
  <w:style w:type="character" w:customStyle="1" w:styleId="BodyTextChar">
    <w:name w:val="Body Text Char"/>
    <w:basedOn w:val="DefaultParagraphFont"/>
    <w:link w:val="BodyText"/>
    <w:uiPriority w:val="99"/>
    <w:semiHidden/>
    <w:rsid w:val="00422A6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agraf.rs/propisi/zakon-o-cevovodnom-transportu-gasovitih-i-tecnih-ugljovodonika-i-distribuciji-gasovitih.html" TargetMode="External"/><Relationship Id="rId13" Type="http://schemas.openxmlformats.org/officeDocument/2006/relationships/hyperlink" Target="https://kp.transportgas-srbija.com/capacity-allocation" TargetMode="External"/><Relationship Id="rId3" Type="http://schemas.openxmlformats.org/officeDocument/2006/relationships/settings" Target="settings.xml"/><Relationship Id="rId7" Type="http://schemas.openxmlformats.org/officeDocument/2006/relationships/hyperlink" Target="https://www.paragraf.rs/propisi/zakon_o_energetici.html" TargetMode="External"/><Relationship Id="rId12" Type="http://schemas.openxmlformats.org/officeDocument/2006/relationships/hyperlink" Target="https://www.energy-community.org/dam/jcr:5b4ff2d5-5672-4989-ad81-d7fd9e27a7f7/Serbia_IR25CP.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ransportgas-srbija.rs/sr/pristup-sistemu/pravila-o-radu-transportnog-sistem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api.transportgas-srbija.rs/assets/odluka-saveta-agencije-za-energetiku-republike-srbije-odavanju-saglasnosti-na-pravila-o-radu-%281%29.pdf" TargetMode="External"/><Relationship Id="rId4" Type="http://schemas.openxmlformats.org/officeDocument/2006/relationships/webSettings" Target="webSettings.xml"/><Relationship Id="rId9" Type="http://schemas.openxmlformats.org/officeDocument/2006/relationships/hyperlink" Target="https://www.transportgas-srbija.rs/vesti/obavestenje-o-zapocinjanju-javnix-konsultacija-vezano-za-nacrt-pravila-o-radu-transportnog-sistema-transportgas-srbija-doo-i-nacrta-modela-ugovora-o-transportu-prirodnog-gasa" TargetMode="External"/><Relationship Id="rId14" Type="http://schemas.openxmlformats.org/officeDocument/2006/relationships/hyperlink" Target="https://kp.transportgas-srbija.com/OfferView"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gastrans.rs/about-the-project/%D0%B5vents/?lang=en" TargetMode="External"/><Relationship Id="rId3" Type="http://schemas.openxmlformats.org/officeDocument/2006/relationships/hyperlink" Target="https://api.transportgas-srbija.rs/assets/odluka-o-izmenama-i-dopunama-pravila-o-radu-transp.-sist.-prir.-gasa.pdf" TargetMode="External"/><Relationship Id="rId7" Type="http://schemas.openxmlformats.org/officeDocument/2006/relationships/hyperlink" Target="https://www.energy-community.org/dam/jcr:7c34a562-af01-474e-bbad-6f6fa609fe0c/ECRB%20Report%20on%20contractual%20congestions%202025_approved.pdf" TargetMode="External"/><Relationship Id="rId2" Type="http://schemas.openxmlformats.org/officeDocument/2006/relationships/hyperlink" Target="https://api.transportgas-srbija.rs/assets/pravila-o-radu-transportnog-sistema-prirodnog-gasa-transportgas-srbija-doo-novi-sad.pdf" TargetMode="External"/><Relationship Id="rId1" Type="http://schemas.openxmlformats.org/officeDocument/2006/relationships/hyperlink" Target="https://www.paragraf.rs/propisi/zakon_o_energetici.html" TargetMode="External"/><Relationship Id="rId6" Type="http://schemas.openxmlformats.org/officeDocument/2006/relationships/hyperlink" Target="https://www.energy-community.org/dam/jcr:5b4ff2d5-5672-4989-ad81-d7fd9e27a7f7/Serbia_IR25CP.pdf" TargetMode="External"/><Relationship Id="rId5" Type="http://schemas.openxmlformats.org/officeDocument/2006/relationships/hyperlink" Target="https://kp.transportgas-srbija.com/capacity-allocation" TargetMode="External"/><Relationship Id="rId10" Type="http://schemas.openxmlformats.org/officeDocument/2006/relationships/hyperlink" Target="https://api.transportgas-srbija.rs/assets/izvestaj-sa-javne-konsultacije-vezane-za-nacrt-pravila-o-radu-transportnog-sistema-transportgas-srbija.doc" TargetMode="External"/><Relationship Id="rId4" Type="http://schemas.openxmlformats.org/officeDocument/2006/relationships/hyperlink" Target="https://api.transportgas-srbija.rs/assets/odluka-saveta-agencije-za-energetiku-republike-srbije-odavanju-saglasnosti-na-pravila-o-radu-(1).pdf" TargetMode="External"/><Relationship Id="rId9" Type="http://schemas.openxmlformats.org/officeDocument/2006/relationships/hyperlink" Target="https://www.transportgas-srbija.rs/vesti/obavestenje-o-zapocinjanju-javnix-konsultacija-vezano-za-nacrt-pravila-o-radu-transportnog-sistema-transportgas-srbija-doo-i-nacrta-modela-ugovora-o-transportu-prirodnog-ga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1420</Words>
  <Characters>9558</Characters>
  <Application>Microsoft Office Word</Application>
  <DocSecurity>0</DocSecurity>
  <Lines>238</Lines>
  <Paragraphs>101</Paragraphs>
  <ScaleCrop>false</ScaleCrop>
  <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2</cp:revision>
  <dcterms:created xsi:type="dcterms:W3CDTF">2026-04-20T10:08:00Z</dcterms:created>
  <dcterms:modified xsi:type="dcterms:W3CDTF">2026-04-24T18:36:00Z</dcterms:modified>
</cp:coreProperties>
</file>